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73" w:rsidRPr="000075CF" w:rsidRDefault="00E72373" w:rsidP="007D134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075CF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положения учетной политики для целей бухгалтерского учета </w:t>
      </w:r>
    </w:p>
    <w:p w:rsidR="007D134C" w:rsidRDefault="00E72373" w:rsidP="007D134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6866">
        <w:rPr>
          <w:rFonts w:ascii="Times New Roman" w:hAnsi="Times New Roman" w:cs="Times New Roman"/>
          <w:iCs/>
          <w:sz w:val="28"/>
          <w:szCs w:val="28"/>
        </w:rPr>
        <w:t>ФГБУ «АМП Охотского моря и Татарского пролива»</w:t>
      </w:r>
      <w:r w:rsidR="00D813E0">
        <w:rPr>
          <w:rFonts w:ascii="Times New Roman" w:hAnsi="Times New Roman" w:cs="Times New Roman"/>
          <w:iCs/>
          <w:sz w:val="28"/>
          <w:szCs w:val="28"/>
        </w:rPr>
        <w:t>,</w:t>
      </w:r>
    </w:p>
    <w:p w:rsidR="00E72373" w:rsidRPr="00A46866" w:rsidRDefault="00D813E0" w:rsidP="007D134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</w:t>
      </w:r>
      <w:r w:rsidR="004D4335">
        <w:rPr>
          <w:rFonts w:ascii="Times New Roman" w:hAnsi="Times New Roman" w:cs="Times New Roman"/>
          <w:iCs/>
          <w:sz w:val="28"/>
          <w:szCs w:val="28"/>
        </w:rPr>
        <w:t xml:space="preserve">вержденные приказом от </w:t>
      </w:r>
      <w:r w:rsidR="00E0497A">
        <w:rPr>
          <w:rFonts w:ascii="Times New Roman" w:hAnsi="Times New Roman" w:cs="Times New Roman"/>
          <w:iCs/>
          <w:sz w:val="28"/>
          <w:szCs w:val="28"/>
        </w:rPr>
        <w:t>23</w:t>
      </w:r>
      <w:r w:rsidR="004D4335">
        <w:rPr>
          <w:rFonts w:ascii="Times New Roman" w:hAnsi="Times New Roman" w:cs="Times New Roman"/>
          <w:iCs/>
          <w:sz w:val="28"/>
          <w:szCs w:val="28"/>
        </w:rPr>
        <w:t>.</w:t>
      </w:r>
      <w:r w:rsidR="00E0497A">
        <w:rPr>
          <w:rFonts w:ascii="Times New Roman" w:hAnsi="Times New Roman" w:cs="Times New Roman"/>
          <w:iCs/>
          <w:sz w:val="28"/>
          <w:szCs w:val="28"/>
        </w:rPr>
        <w:t>0</w:t>
      </w:r>
      <w:r w:rsidR="004D4335">
        <w:rPr>
          <w:rFonts w:ascii="Times New Roman" w:hAnsi="Times New Roman" w:cs="Times New Roman"/>
          <w:iCs/>
          <w:sz w:val="28"/>
          <w:szCs w:val="28"/>
        </w:rPr>
        <w:t>1.20</w:t>
      </w:r>
      <w:r w:rsidR="00E77B88">
        <w:rPr>
          <w:rFonts w:ascii="Times New Roman" w:hAnsi="Times New Roman" w:cs="Times New Roman"/>
          <w:iCs/>
          <w:sz w:val="28"/>
          <w:szCs w:val="28"/>
        </w:rPr>
        <w:t>2</w:t>
      </w:r>
      <w:r w:rsidR="00E0497A">
        <w:rPr>
          <w:rFonts w:ascii="Times New Roman" w:hAnsi="Times New Roman" w:cs="Times New Roman"/>
          <w:iCs/>
          <w:sz w:val="28"/>
          <w:szCs w:val="28"/>
        </w:rPr>
        <w:t>3</w:t>
      </w:r>
      <w:r w:rsidR="004D4335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E0497A">
        <w:rPr>
          <w:rFonts w:ascii="Times New Roman" w:hAnsi="Times New Roman" w:cs="Times New Roman"/>
          <w:iCs/>
          <w:sz w:val="28"/>
          <w:szCs w:val="28"/>
        </w:rPr>
        <w:t>19</w:t>
      </w:r>
      <w:r w:rsidR="004D4335">
        <w:rPr>
          <w:rFonts w:ascii="Times New Roman" w:hAnsi="Times New Roman" w:cs="Times New Roman"/>
          <w:iCs/>
          <w:sz w:val="28"/>
          <w:szCs w:val="28"/>
        </w:rPr>
        <w:t xml:space="preserve">/А «Об утверждении </w:t>
      </w:r>
      <w:r w:rsidR="00E77B88">
        <w:rPr>
          <w:rFonts w:ascii="Times New Roman" w:hAnsi="Times New Roman" w:cs="Times New Roman"/>
          <w:iCs/>
          <w:sz w:val="28"/>
          <w:szCs w:val="28"/>
        </w:rPr>
        <w:t xml:space="preserve">Положения </w:t>
      </w:r>
      <w:r w:rsidR="004D4335">
        <w:rPr>
          <w:rFonts w:ascii="Times New Roman" w:hAnsi="Times New Roman" w:cs="Times New Roman"/>
          <w:iCs/>
          <w:sz w:val="28"/>
          <w:szCs w:val="28"/>
        </w:rPr>
        <w:t>учетной политики для целей бухгалтерского учета»</w:t>
      </w:r>
    </w:p>
    <w:tbl>
      <w:tblPr>
        <w:tblStyle w:val="a3"/>
        <w:tblW w:w="10065" w:type="dxa"/>
        <w:tblInd w:w="-572" w:type="dxa"/>
        <w:tblLayout w:type="fixed"/>
        <w:tblLook w:val="04A0"/>
      </w:tblPr>
      <w:tblGrid>
        <w:gridCol w:w="2410"/>
        <w:gridCol w:w="7655"/>
      </w:tblGrid>
      <w:tr w:rsidR="008613A2" w:rsidRPr="008613A2" w:rsidTr="00123593">
        <w:tc>
          <w:tcPr>
            <w:tcW w:w="2410" w:type="dxa"/>
          </w:tcPr>
          <w:p w:rsidR="00E72373" w:rsidRPr="008613A2" w:rsidRDefault="00E72373" w:rsidP="00A46866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Вопросы, </w:t>
            </w:r>
            <w:r w:rsidR="00412206"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раскрываемые 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B1871" w:rsidRPr="008613A2">
              <w:rPr>
                <w:rFonts w:ascii="Times New Roman" w:hAnsi="Times New Roman" w:cs="Times New Roman"/>
                <w:sz w:val="26"/>
                <w:szCs w:val="26"/>
              </w:rPr>
              <w:t>разделах Положения</w:t>
            </w:r>
            <w:r w:rsidR="00412206"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учетной политике</w:t>
            </w:r>
          </w:p>
        </w:tc>
        <w:tc>
          <w:tcPr>
            <w:tcW w:w="7655" w:type="dxa"/>
          </w:tcPr>
          <w:p w:rsidR="00E72373" w:rsidRPr="008613A2" w:rsidRDefault="00412206" w:rsidP="00D813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72373" w:rsidRPr="008613A2">
              <w:rPr>
                <w:rFonts w:ascii="Times New Roman" w:hAnsi="Times New Roman" w:cs="Times New Roman"/>
                <w:sz w:val="26"/>
                <w:szCs w:val="26"/>
              </w:rPr>
              <w:t>бобщенн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E72373"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D813E0" w:rsidRPr="008613A2">
              <w:rPr>
                <w:rFonts w:ascii="Times New Roman" w:hAnsi="Times New Roman" w:cs="Times New Roman"/>
                <w:sz w:val="26"/>
                <w:szCs w:val="26"/>
              </w:rPr>
              <w:t>я о решениях, принятых в рамках формирования учетной политики</w:t>
            </w:r>
          </w:p>
        </w:tc>
      </w:tr>
      <w:tr w:rsidR="00123593" w:rsidRPr="008613A2" w:rsidTr="00123593">
        <w:tc>
          <w:tcPr>
            <w:tcW w:w="2410" w:type="dxa"/>
          </w:tcPr>
          <w:p w:rsidR="00123593" w:rsidRPr="008613A2" w:rsidRDefault="00123593" w:rsidP="00A46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123593" w:rsidRPr="008613A2" w:rsidRDefault="00123593" w:rsidP="00D81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13A2" w:rsidRPr="008613A2" w:rsidTr="00123593">
        <w:tc>
          <w:tcPr>
            <w:tcW w:w="2410" w:type="dxa"/>
          </w:tcPr>
          <w:p w:rsidR="00BB1871" w:rsidRPr="008613A2" w:rsidRDefault="00BB1871" w:rsidP="00123593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Нормативная база </w:t>
            </w:r>
            <w:r w:rsidR="00E77B8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для организации бухгалтерского </w:t>
            </w:r>
            <w:r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>учета</w:t>
            </w:r>
          </w:p>
        </w:tc>
        <w:tc>
          <w:tcPr>
            <w:tcW w:w="7655" w:type="dxa"/>
          </w:tcPr>
          <w:p w:rsidR="00BB1871" w:rsidRPr="008613A2" w:rsidRDefault="00BB1871" w:rsidP="00BB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Перечень действующих нормативных документов в сфере организации бухгалтерского учета, послуживших основанием для формирования решений учетной политики</w:t>
            </w:r>
            <w:r w:rsidR="00E77B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1871" w:rsidRPr="008613A2" w:rsidRDefault="00BB1871" w:rsidP="00345ACB">
            <w:pPr>
              <w:ind w:firstLine="46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613A2" w:rsidRPr="008613A2" w:rsidTr="00123593">
        <w:tc>
          <w:tcPr>
            <w:tcW w:w="2410" w:type="dxa"/>
          </w:tcPr>
          <w:p w:rsidR="00BC6865" w:rsidRPr="008613A2" w:rsidRDefault="00BC6865" w:rsidP="00BC6865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Общие положения.</w:t>
            </w:r>
          </w:p>
          <w:p w:rsidR="00465CC4" w:rsidRPr="008613A2" w:rsidRDefault="00465CC4" w:rsidP="00465CC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A77AF" w:rsidRPr="008613A2" w:rsidRDefault="009A77AF" w:rsidP="00E76F8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465CC4" w:rsidRPr="00E0497A" w:rsidRDefault="00465CC4" w:rsidP="00040D04">
            <w:pPr>
              <w:ind w:firstLine="317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0497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Правила раскрытия основных положений учетной политики в сети «Интернет»</w:t>
            </w:r>
          </w:p>
          <w:p w:rsidR="00412206" w:rsidRPr="008613A2" w:rsidRDefault="00E76F8F" w:rsidP="002F1E9D">
            <w:pPr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2.1. </w:t>
            </w:r>
            <w:r w:rsidR="00412206"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Учреждение публикует основные </w:t>
            </w:r>
            <w:r w:rsidR="00917E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значимые </w:t>
            </w:r>
            <w:r w:rsidR="00412206"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положения учетной политики на своем официальном сайте путем размещения </w:t>
            </w:r>
            <w:r w:rsidR="00412206"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обобщенной информации об основных способах ведения учета (выписки из положений, решения, закрепленные в учетной политике) и особенностях ведения учета (перечня особенностей). </w:t>
            </w:r>
            <w:r w:rsidR="006C5378">
              <w:rPr>
                <w:rFonts w:ascii="Times New Roman" w:hAnsi="Times New Roman" w:cs="Times New Roman"/>
                <w:sz w:val="26"/>
                <w:szCs w:val="26"/>
              </w:rPr>
              <w:t>Выписки сохраняют нумерацию разделов, пунктов Положения об учетной политике.</w:t>
            </w:r>
          </w:p>
          <w:p w:rsidR="00E72373" w:rsidRDefault="00362873" w:rsidP="00362873">
            <w:pPr>
              <w:ind w:firstLine="462"/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</w:t>
            </w:r>
            <w:hyperlink r:id="rId8" w:anchor="/document/99/542618106/ZAP1V2K3A1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..." w:history="1">
              <w:r w:rsidRPr="008613A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п. 9 СГС «Учетная политика, оценочные значения и ошибки»</w:t>
              </w:r>
            </w:hyperlink>
          </w:p>
          <w:p w:rsidR="00E6506B" w:rsidRDefault="00E6506B" w:rsidP="00362873">
            <w:pPr>
              <w:ind w:firstLine="462"/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</w:p>
          <w:p w:rsidR="00E6506B" w:rsidRPr="00E0497A" w:rsidRDefault="00E6506B" w:rsidP="00040D0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17"/>
              <w:jc w:val="both"/>
              <w:rPr>
                <w:b/>
                <w:iCs/>
                <w:sz w:val="26"/>
                <w:szCs w:val="26"/>
              </w:rPr>
            </w:pPr>
            <w:r w:rsidRPr="00E0497A">
              <w:rPr>
                <w:b/>
                <w:iCs/>
                <w:sz w:val="26"/>
                <w:szCs w:val="26"/>
              </w:rPr>
              <w:t>Критерии существенности изменения показателей финансового положения Учреждения</w:t>
            </w:r>
          </w:p>
          <w:p w:rsidR="00E6506B" w:rsidRPr="008613A2" w:rsidRDefault="00E6506B" w:rsidP="00E6506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17"/>
              <w:jc w:val="both"/>
              <w:rPr>
                <w:iCs/>
                <w:sz w:val="26"/>
                <w:szCs w:val="26"/>
              </w:rPr>
            </w:pPr>
            <w:r w:rsidRPr="008613A2">
              <w:rPr>
                <w:iCs/>
                <w:sz w:val="26"/>
                <w:szCs w:val="26"/>
              </w:rPr>
              <w:t xml:space="preserve">2.2. При внесении изменений в учетную политику главный бухгалтер на основе своего профессионального суждения оценивает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в целях сопоставления отчетности за различные периоды. </w:t>
            </w:r>
            <w:r w:rsidR="00E0497A">
              <w:rPr>
                <w:iCs/>
                <w:sz w:val="26"/>
                <w:szCs w:val="26"/>
              </w:rPr>
              <w:t>Существенные изменения раскрываются в отчетности.</w:t>
            </w:r>
          </w:p>
          <w:p w:rsidR="00E6506B" w:rsidRDefault="00E6506B" w:rsidP="00E6506B">
            <w:pPr>
              <w:ind w:firstLine="462"/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</w:t>
            </w:r>
            <w:hyperlink r:id="rId9" w:anchor="/document/99/542618106/ZAP1V2K3A1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..." w:history="1">
              <w:r w:rsidRPr="008613A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п. 15-20 СГС «Учетная политика, оценочные значения и ошибки»</w:t>
              </w:r>
            </w:hyperlink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2.3. Г</w:t>
            </w:r>
            <w:r w:rsidRPr="00E77B88">
              <w:rPr>
                <w:rFonts w:ascii="Times New Roman" w:hAnsi="Times New Roman" w:cs="Times New Roman"/>
                <w:iCs/>
                <w:sz w:val="26"/>
                <w:szCs w:val="26"/>
              </w:rPr>
              <w:t>лавный бухгалтер</w:t>
            </w: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E77B88">
              <w:rPr>
                <w:rFonts w:ascii="Times New Roman" w:hAnsi="Times New Roman" w:cs="Times New Roman"/>
                <w:iCs/>
                <w:sz w:val="26"/>
                <w:szCs w:val="26"/>
              </w:rPr>
              <w:t>а основе профессионального суждения оценивает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</w:t>
            </w:r>
            <w:hyperlink r:id="rId10" w:anchor="/document/99/542618106/ZAP1V2K3A1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..." w:history="1">
              <w:r w:rsidRPr="00E77B8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п. 27-34 СГС «Учетная политика, оценочные значения и ошибки»</w:t>
              </w:r>
            </w:hyperlink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t>2.7. В Учреждении приказами руководителя утверждается состав постоянно действующих комиссий:</w:t>
            </w:r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t>- единая комиссия по конкурентным закупкам (за счет средств от приносящей доход деятельности);</w:t>
            </w:r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t>- единая комиссия по неконкурентным закупкам (за счет средств от приносящей доход деятельности);</w:t>
            </w:r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lastRenderedPageBreak/>
              <w:t>- единая комиссия по осуществлению закупок (за счет средств субсидий и федерального бюджета);</w:t>
            </w:r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t xml:space="preserve">- инвентаризационные комиссии </w:t>
            </w:r>
            <w:r>
              <w:rPr>
                <w:sz w:val="26"/>
                <w:szCs w:val="26"/>
              </w:rPr>
              <w:t xml:space="preserve">(создаваемые </w:t>
            </w:r>
            <w:r w:rsidRPr="0010074E">
              <w:rPr>
                <w:sz w:val="26"/>
                <w:szCs w:val="26"/>
              </w:rPr>
              <w:t>по территориальному признаку</w:t>
            </w:r>
            <w:r>
              <w:rPr>
                <w:sz w:val="26"/>
                <w:szCs w:val="26"/>
              </w:rPr>
              <w:t>:</w:t>
            </w:r>
            <w:r w:rsidRPr="0010074E">
              <w:rPr>
                <w:sz w:val="26"/>
                <w:szCs w:val="26"/>
              </w:rPr>
              <w:t xml:space="preserve"> в каждом обособленном подразделении-филиале), действующие на основании </w:t>
            </w:r>
            <w:r>
              <w:rPr>
                <w:sz w:val="26"/>
                <w:szCs w:val="26"/>
              </w:rPr>
              <w:t>Положения</w:t>
            </w:r>
            <w:r w:rsidRPr="0010074E">
              <w:rPr>
                <w:sz w:val="26"/>
                <w:szCs w:val="26"/>
              </w:rPr>
              <w:t xml:space="preserve"> о проведении инвентаризации имущества и обязательств (</w:t>
            </w:r>
            <w:r w:rsidR="00E0497A">
              <w:rPr>
                <w:sz w:val="26"/>
                <w:szCs w:val="26"/>
              </w:rPr>
              <w:t>утв. в составе Положения об учетной политике</w:t>
            </w:r>
            <w:r w:rsidRPr="0010074E">
              <w:rPr>
                <w:sz w:val="26"/>
                <w:szCs w:val="26"/>
              </w:rPr>
              <w:t>);</w:t>
            </w:r>
          </w:p>
          <w:p w:rsidR="00E77B88" w:rsidRPr="0010074E" w:rsidRDefault="00E77B88" w:rsidP="00E77B8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jc w:val="both"/>
              <w:rPr>
                <w:sz w:val="26"/>
                <w:szCs w:val="26"/>
              </w:rPr>
            </w:pPr>
            <w:r w:rsidRPr="0010074E">
              <w:rPr>
                <w:sz w:val="26"/>
                <w:szCs w:val="26"/>
              </w:rPr>
              <w:t xml:space="preserve">- комиссии по поступлению и выбытию активов </w:t>
            </w:r>
            <w:r>
              <w:rPr>
                <w:sz w:val="26"/>
                <w:szCs w:val="26"/>
              </w:rPr>
              <w:t>(создаваемые</w:t>
            </w:r>
            <w:r w:rsidRPr="0010074E">
              <w:rPr>
                <w:sz w:val="26"/>
                <w:szCs w:val="26"/>
              </w:rPr>
              <w:t xml:space="preserve"> по территориальному признаку</w:t>
            </w:r>
            <w:r>
              <w:rPr>
                <w:sz w:val="26"/>
                <w:szCs w:val="26"/>
              </w:rPr>
              <w:t>:</w:t>
            </w:r>
            <w:r w:rsidRPr="0010074E">
              <w:rPr>
                <w:sz w:val="26"/>
                <w:szCs w:val="26"/>
              </w:rPr>
              <w:t xml:space="preserve"> в каждом обособленном подразделении-филиале), возможно создание комиссий по каждому виду активов. </w:t>
            </w:r>
            <w:r>
              <w:rPr>
                <w:sz w:val="26"/>
                <w:szCs w:val="26"/>
              </w:rPr>
              <w:t>Персональный с</w:t>
            </w:r>
            <w:r w:rsidRPr="0010074E">
              <w:rPr>
                <w:sz w:val="26"/>
                <w:szCs w:val="26"/>
              </w:rPr>
              <w:t xml:space="preserve">остав комиссии </w:t>
            </w:r>
            <w:r>
              <w:rPr>
                <w:sz w:val="26"/>
                <w:szCs w:val="26"/>
              </w:rPr>
              <w:t xml:space="preserve">(комиссий) </w:t>
            </w:r>
            <w:r w:rsidRPr="0010074E">
              <w:rPr>
                <w:sz w:val="26"/>
                <w:szCs w:val="26"/>
              </w:rPr>
              <w:t>утвержда</w:t>
            </w:r>
            <w:r>
              <w:rPr>
                <w:sz w:val="26"/>
                <w:szCs w:val="26"/>
              </w:rPr>
              <w:t>е</w:t>
            </w:r>
            <w:r w:rsidRPr="0010074E">
              <w:rPr>
                <w:sz w:val="26"/>
                <w:szCs w:val="26"/>
              </w:rPr>
              <w:t>тся приказ</w:t>
            </w:r>
            <w:r>
              <w:rPr>
                <w:sz w:val="26"/>
                <w:szCs w:val="26"/>
              </w:rPr>
              <w:t>ом</w:t>
            </w:r>
            <w:r w:rsidRPr="0010074E">
              <w:rPr>
                <w:sz w:val="26"/>
                <w:szCs w:val="26"/>
              </w:rPr>
              <w:t xml:space="preserve"> руководителя. Положение о постоянно действующей комиссии по поступлению и выбытию активов </w:t>
            </w:r>
            <w:r w:rsidR="00E0497A" w:rsidRPr="0010074E">
              <w:rPr>
                <w:sz w:val="26"/>
                <w:szCs w:val="26"/>
              </w:rPr>
              <w:t>(</w:t>
            </w:r>
            <w:r w:rsidR="00E0497A">
              <w:rPr>
                <w:sz w:val="26"/>
                <w:szCs w:val="26"/>
              </w:rPr>
              <w:t>утв. в составе Положения об учетной политике</w:t>
            </w:r>
            <w:r w:rsidR="00E0497A" w:rsidRPr="0010074E">
              <w:rPr>
                <w:sz w:val="26"/>
                <w:szCs w:val="26"/>
              </w:rPr>
              <w:t>)</w:t>
            </w:r>
            <w:r w:rsidRPr="0010074E">
              <w:rPr>
                <w:sz w:val="26"/>
                <w:szCs w:val="26"/>
              </w:rPr>
              <w:t>.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 Событие после отчетной даты Учреждение признает существенным, если без знания о факте хозяйственной жизни, который имел место в период между отчетной датой и датой подписания бухгалтерской (финансовой) отчетности за отчетный год, пользователи отчетности не смогут достоверно оценить финансовое состояние, активы, движение денежных средств или результаты деятельности Учреждения.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Существенность события после отчетной даты (степень его влияния) оценивает (квалифицирует) главный бухгалтер на основе своего профессионального суждения. 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Основание: абзац 3 пункта 2 СГС «События после отчетной даты» (критерий существенности события после отчетной даты);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К событиям, подтверждающим условия деятельности, Учреждение относит следующие события после отчетной даты, если оформление документов завершено (документ подписан уполномоченными лицами) после отчетной даты: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- данные инвентаризации, проведенной перед составлением бухгалтерской (финансовой) отчетности за отчетный год;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- подтверждение</w:t>
            </w:r>
            <w:r w:rsidR="00091A85"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 дебиторской</w:t>
            </w:r>
            <w:r w:rsidR="00091A85">
              <w:rPr>
                <w:rFonts w:ascii="Times New Roman" w:hAnsi="Times New Roman" w:cs="Times New Roman"/>
                <w:sz w:val="26"/>
                <w:szCs w:val="26"/>
              </w:rPr>
              <w:t xml:space="preserve">, кредиторской задолженности, а также </w:t>
            </w: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признаков безнадежной дебиторской задолженности;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>- изменение кадастровой оценки земли.</w:t>
            </w:r>
          </w:p>
          <w:p w:rsidR="00E77B88" w:rsidRPr="00E77B88" w:rsidRDefault="00E77B88" w:rsidP="00E77B88">
            <w:pPr>
              <w:ind w:firstLine="4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абзац 4 пункта 7 СГС «События после отчетной даты» </w:t>
            </w:r>
          </w:p>
          <w:p w:rsidR="00CD332A" w:rsidRPr="008613A2" w:rsidRDefault="00CD332A" w:rsidP="00223C9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</w:p>
        </w:tc>
      </w:tr>
      <w:tr w:rsidR="008613A2" w:rsidRPr="008613A2" w:rsidTr="00123593">
        <w:tc>
          <w:tcPr>
            <w:tcW w:w="2410" w:type="dxa"/>
          </w:tcPr>
          <w:p w:rsidR="00BB1871" w:rsidRPr="008613A2" w:rsidRDefault="00BB1871" w:rsidP="00AD467E">
            <w:pPr>
              <w:pStyle w:val="a5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Рабочий план счетов</w:t>
            </w:r>
            <w:r w:rsidR="00272295"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(порядок формирования</w:t>
            </w:r>
            <w:r w:rsidR="00190741"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применения счетов</w:t>
            </w:r>
            <w:r w:rsidR="00272295" w:rsidRPr="008613A2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7655" w:type="dxa"/>
          </w:tcPr>
          <w:p w:rsidR="00B5332B" w:rsidRPr="008613A2" w:rsidRDefault="00964F89" w:rsidP="00B5332B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17"/>
              <w:jc w:val="both"/>
              <w:rPr>
                <w:iCs/>
                <w:sz w:val="26"/>
                <w:szCs w:val="26"/>
              </w:rPr>
            </w:pPr>
            <w:r w:rsidRPr="008613A2">
              <w:rPr>
                <w:iCs/>
                <w:sz w:val="26"/>
                <w:szCs w:val="26"/>
              </w:rPr>
              <w:t xml:space="preserve">Раздел закрепляет коды </w:t>
            </w:r>
            <w:r w:rsidR="004B7039">
              <w:rPr>
                <w:iCs/>
                <w:sz w:val="26"/>
                <w:szCs w:val="26"/>
              </w:rPr>
              <w:t xml:space="preserve">балансовых </w:t>
            </w:r>
            <w:r w:rsidRPr="008613A2">
              <w:rPr>
                <w:iCs/>
                <w:sz w:val="26"/>
                <w:szCs w:val="26"/>
              </w:rPr>
              <w:t xml:space="preserve">счетов бухгалтерского учета и устанавливает правила формирования </w:t>
            </w:r>
            <w:r w:rsidR="00C84B9D">
              <w:rPr>
                <w:iCs/>
                <w:sz w:val="26"/>
                <w:szCs w:val="26"/>
              </w:rPr>
              <w:t>р</w:t>
            </w:r>
            <w:r w:rsidRPr="008613A2">
              <w:rPr>
                <w:iCs/>
                <w:sz w:val="26"/>
                <w:szCs w:val="26"/>
              </w:rPr>
              <w:t>азрядов счетов</w:t>
            </w:r>
            <w:r w:rsidR="00C84B9D">
              <w:rPr>
                <w:iCs/>
                <w:sz w:val="26"/>
                <w:szCs w:val="26"/>
              </w:rPr>
              <w:t>.</w:t>
            </w:r>
          </w:p>
          <w:p w:rsidR="00C84B9D" w:rsidRDefault="00964F89" w:rsidP="00E161DF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rPr>
                <w:iCs/>
                <w:sz w:val="26"/>
                <w:szCs w:val="26"/>
              </w:rPr>
            </w:pPr>
            <w:r w:rsidRPr="008613A2">
              <w:rPr>
                <w:iCs/>
                <w:sz w:val="26"/>
                <w:szCs w:val="26"/>
              </w:rPr>
              <w:t xml:space="preserve">При отражении операций на </w:t>
            </w:r>
            <w:r w:rsidR="004B7039">
              <w:rPr>
                <w:iCs/>
                <w:sz w:val="26"/>
                <w:szCs w:val="26"/>
              </w:rPr>
              <w:t xml:space="preserve">балансовых </w:t>
            </w:r>
            <w:r w:rsidRPr="008613A2">
              <w:rPr>
                <w:iCs/>
                <w:sz w:val="26"/>
                <w:szCs w:val="26"/>
              </w:rPr>
              <w:t xml:space="preserve">счетах бухгалтерского учета применяется порядок, установленный пунктом </w:t>
            </w:r>
            <w:r w:rsidR="00C84B9D" w:rsidRPr="00C84B9D">
              <w:rPr>
                <w:iCs/>
                <w:sz w:val="26"/>
                <w:szCs w:val="26"/>
              </w:rPr>
              <w:t>19 СГС «Концептуальные основы бухучета и отчетности», пункт</w:t>
            </w:r>
            <w:r w:rsidR="00C84B9D">
              <w:rPr>
                <w:iCs/>
                <w:sz w:val="26"/>
                <w:szCs w:val="26"/>
              </w:rPr>
              <w:t xml:space="preserve">ами </w:t>
            </w:r>
            <w:r w:rsidR="00C84B9D" w:rsidRPr="00C84B9D">
              <w:rPr>
                <w:iCs/>
                <w:sz w:val="26"/>
                <w:szCs w:val="26"/>
              </w:rPr>
              <w:t>6, 21 Инструкции к Единому плану счетов № 157н, пункт</w:t>
            </w:r>
            <w:r w:rsidR="00C84B9D">
              <w:rPr>
                <w:iCs/>
                <w:sz w:val="26"/>
                <w:szCs w:val="26"/>
              </w:rPr>
              <w:t>ом</w:t>
            </w:r>
            <w:r w:rsidR="00C84B9D" w:rsidRPr="00C84B9D">
              <w:rPr>
                <w:iCs/>
                <w:sz w:val="26"/>
                <w:szCs w:val="26"/>
              </w:rPr>
              <w:t xml:space="preserve"> 2.1 Инструкци</w:t>
            </w:r>
            <w:r w:rsidR="00C84B9D">
              <w:rPr>
                <w:iCs/>
                <w:sz w:val="26"/>
                <w:szCs w:val="26"/>
              </w:rPr>
              <w:t>и</w:t>
            </w:r>
            <w:r w:rsidR="00C84B9D" w:rsidRPr="00C84B9D">
              <w:rPr>
                <w:iCs/>
                <w:sz w:val="26"/>
                <w:szCs w:val="26"/>
              </w:rPr>
              <w:t xml:space="preserve"> № 174н</w:t>
            </w:r>
            <w:r w:rsidR="00E161DF">
              <w:rPr>
                <w:iCs/>
                <w:sz w:val="26"/>
                <w:szCs w:val="26"/>
              </w:rPr>
              <w:t>.</w:t>
            </w:r>
          </w:p>
          <w:p w:rsidR="000A70E1" w:rsidRPr="000A70E1" w:rsidRDefault="000A70E1" w:rsidP="006C5378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rPr>
                <w:iCs/>
                <w:sz w:val="26"/>
                <w:szCs w:val="26"/>
              </w:rPr>
            </w:pPr>
            <w:r w:rsidRPr="000A70E1">
              <w:rPr>
                <w:iCs/>
                <w:sz w:val="26"/>
                <w:szCs w:val="26"/>
              </w:rPr>
              <w:t>3.2. Для расчетов по налогам (единому налоговому платежу) и взносам (единому тарифу страховых взносов) Учреждение применяет балансовые счета:</w:t>
            </w:r>
          </w:p>
          <w:p w:rsidR="000A70E1" w:rsidRPr="000A70E1" w:rsidRDefault="000A70E1" w:rsidP="006C5378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rPr>
                <w:iCs/>
                <w:sz w:val="26"/>
                <w:szCs w:val="26"/>
              </w:rPr>
            </w:pPr>
            <w:r w:rsidRPr="000A70E1">
              <w:rPr>
                <w:iCs/>
                <w:sz w:val="26"/>
                <w:szCs w:val="26"/>
              </w:rPr>
              <w:t>303.14 «Расчеты по единому налоговому платежу»;</w:t>
            </w:r>
          </w:p>
          <w:p w:rsidR="000A70E1" w:rsidRPr="000A70E1" w:rsidRDefault="000A70E1" w:rsidP="006C5378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rPr>
                <w:iCs/>
                <w:sz w:val="26"/>
                <w:szCs w:val="26"/>
              </w:rPr>
            </w:pPr>
            <w:r w:rsidRPr="000A70E1">
              <w:rPr>
                <w:iCs/>
                <w:sz w:val="26"/>
                <w:szCs w:val="26"/>
              </w:rPr>
              <w:lastRenderedPageBreak/>
              <w:t>303.15 «Расчеты по единому страховому тарифу».</w:t>
            </w:r>
          </w:p>
          <w:p w:rsidR="00C84B9D" w:rsidRPr="008613A2" w:rsidRDefault="004B7039" w:rsidP="00E161DF">
            <w:pPr>
              <w:pStyle w:val="a6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firstLine="425"/>
              <w:rPr>
                <w:iCs/>
                <w:sz w:val="26"/>
                <w:szCs w:val="26"/>
              </w:rPr>
            </w:pPr>
            <w:r w:rsidRPr="004B7039">
              <w:rPr>
                <w:iCs/>
                <w:sz w:val="26"/>
                <w:szCs w:val="26"/>
              </w:rPr>
              <w:t xml:space="preserve">Учреждение кроме забалансовых счетов, предусмотренных Инструкцией к Единому плану счетов № 157н, применяет забалансовый счет 32 «Материальные запасы в пользовании».Счет предназначен для учета находящихся в эксплуатации материальных </w:t>
            </w:r>
            <w:r w:rsidR="000A70E1">
              <w:rPr>
                <w:iCs/>
                <w:sz w:val="26"/>
                <w:szCs w:val="26"/>
              </w:rPr>
              <w:t>ценностей</w:t>
            </w:r>
            <w:r w:rsidRPr="004B7039">
              <w:rPr>
                <w:iCs/>
                <w:sz w:val="26"/>
                <w:szCs w:val="26"/>
              </w:rPr>
              <w:t xml:space="preserve"> Учреждения</w:t>
            </w:r>
            <w:r w:rsidR="000A70E1">
              <w:rPr>
                <w:iCs/>
                <w:sz w:val="26"/>
                <w:szCs w:val="26"/>
              </w:rPr>
              <w:t xml:space="preserve"> (</w:t>
            </w:r>
            <w:r w:rsidRPr="004B7039">
              <w:rPr>
                <w:iCs/>
                <w:sz w:val="26"/>
                <w:szCs w:val="26"/>
              </w:rPr>
              <w:t>не соответствую</w:t>
            </w:r>
            <w:r>
              <w:rPr>
                <w:iCs/>
                <w:sz w:val="26"/>
                <w:szCs w:val="26"/>
              </w:rPr>
              <w:t>щих критериям основных средств</w:t>
            </w:r>
            <w:r w:rsidR="000A70E1">
              <w:rPr>
                <w:iCs/>
                <w:sz w:val="26"/>
                <w:szCs w:val="26"/>
              </w:rPr>
              <w:t>) для обеспечения их сохранности.</w:t>
            </w:r>
          </w:p>
        </w:tc>
      </w:tr>
      <w:tr w:rsidR="007B6D29" w:rsidRPr="008613A2" w:rsidTr="00123593">
        <w:tc>
          <w:tcPr>
            <w:tcW w:w="2410" w:type="dxa"/>
          </w:tcPr>
          <w:p w:rsidR="007B6D29" w:rsidRPr="008613A2" w:rsidRDefault="007B6D29" w:rsidP="0012359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75" w:firstLine="18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Учет доходов</w:t>
            </w:r>
          </w:p>
        </w:tc>
        <w:tc>
          <w:tcPr>
            <w:tcW w:w="7655" w:type="dxa"/>
          </w:tcPr>
          <w:p w:rsidR="0041134E" w:rsidRPr="000A70E1" w:rsidRDefault="0041134E" w:rsidP="0041134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jc w:val="both"/>
              <w:rPr>
                <w:b/>
                <w:iCs/>
                <w:sz w:val="26"/>
                <w:szCs w:val="26"/>
              </w:rPr>
            </w:pPr>
            <w:r w:rsidRPr="000A70E1">
              <w:rPr>
                <w:b/>
                <w:iCs/>
                <w:sz w:val="26"/>
                <w:szCs w:val="26"/>
              </w:rPr>
              <w:t>Порядок учета доходов Учреждения</w:t>
            </w:r>
          </w:p>
          <w:p w:rsidR="0041134E" w:rsidRPr="0041134E" w:rsidRDefault="0041134E" w:rsidP="0041134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jc w:val="both"/>
              <w:rPr>
                <w:iCs/>
                <w:sz w:val="26"/>
                <w:szCs w:val="26"/>
              </w:rPr>
            </w:pPr>
            <w:r w:rsidRPr="0041134E">
              <w:rPr>
                <w:iCs/>
                <w:sz w:val="26"/>
                <w:szCs w:val="26"/>
              </w:rPr>
              <w:t>4.1. Учреждение, являясь субъектом естественных монополий, оказывает один вид регулируемой услуги в морских портах: обеспечение безопасности мореплавания и порядка в морских портах и на подходах к ним (далее – безопасность мореплавания). Данная услуга является обычным видом деятельности и оплачивается корабельным сбором.</w:t>
            </w:r>
          </w:p>
          <w:p w:rsidR="0041134E" w:rsidRPr="0041134E" w:rsidRDefault="0041134E" w:rsidP="0041134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56"/>
              <w:jc w:val="both"/>
              <w:rPr>
                <w:iCs/>
                <w:sz w:val="26"/>
                <w:szCs w:val="26"/>
              </w:rPr>
            </w:pPr>
            <w:r w:rsidRPr="0041134E">
              <w:rPr>
                <w:iCs/>
                <w:sz w:val="26"/>
                <w:szCs w:val="26"/>
              </w:rPr>
              <w:t xml:space="preserve">Основание: Приказ ФСТ России от 22.06.2015 №1249-т «О внесении изменений в Реестр субъектов естественных монополий, в отношении которых осуществляется регулирование и контроль». </w:t>
            </w:r>
          </w:p>
          <w:p w:rsidR="0041134E" w:rsidRPr="0041134E" w:rsidRDefault="0041134E" w:rsidP="004113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6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4.2. В целях бухгалтерского (синтетического) учета услуга по безопасности мореплавания не подлежит группировке по видам. Учреждение применяет коды классификации операций сектора государственного управления (КОСГУ) в общеустановленном порядке.</w:t>
            </w:r>
          </w:p>
          <w:p w:rsidR="007B6D29" w:rsidRPr="00223C97" w:rsidRDefault="0041134E" w:rsidP="00223C9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6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1134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4.3. В целях управленческого и оперативного учетов Учреждение ведет аналитический учет корабельного сбора в зависимости от места возникновения дохода (в морских портах Ванино, Де-Кастри, Магадан, Николаевск-на-Амуре, Охотск, Советская Гавань), видов плавания судов (каботажное, заграничное), видов судов (сухогрузы, наливные, накатные). Перечень видов объектов аналитического учета является открытым.</w:t>
            </w:r>
          </w:p>
        </w:tc>
      </w:tr>
      <w:tr w:rsidR="00250D83" w:rsidRPr="008613A2" w:rsidTr="00123593">
        <w:tc>
          <w:tcPr>
            <w:tcW w:w="2410" w:type="dxa"/>
          </w:tcPr>
          <w:p w:rsidR="00250D83" w:rsidRPr="008613A2" w:rsidRDefault="00250D83" w:rsidP="007B6D29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360"/>
              <w:jc w:val="both"/>
              <w:rPr>
                <w:sz w:val="26"/>
                <w:szCs w:val="26"/>
              </w:rPr>
            </w:pPr>
            <w:r w:rsidRPr="008613A2">
              <w:rPr>
                <w:bCs/>
                <w:sz w:val="26"/>
                <w:szCs w:val="26"/>
              </w:rPr>
              <w:t>Методы оценки и учет отдельных видов имущества и обязательств</w:t>
            </w:r>
            <w:r w:rsidRPr="008613A2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</w:tcPr>
          <w:p w:rsidR="00250D83" w:rsidRPr="000A70E1" w:rsidRDefault="00250D83" w:rsidP="00040D0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62"/>
              <w:jc w:val="both"/>
              <w:rPr>
                <w:b/>
                <w:iCs/>
                <w:sz w:val="26"/>
                <w:szCs w:val="26"/>
              </w:rPr>
            </w:pPr>
            <w:r w:rsidRPr="000A70E1">
              <w:rPr>
                <w:b/>
                <w:iCs/>
                <w:sz w:val="26"/>
                <w:szCs w:val="26"/>
              </w:rPr>
              <w:t>Оценочные значения</w:t>
            </w:r>
          </w:p>
          <w:p w:rsidR="00250D83" w:rsidRPr="008613A2" w:rsidRDefault="00250D83" w:rsidP="00C4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.1.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</w:t>
            </w:r>
            <w:r w:rsidR="00EE28B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бирает комиссия Учреждения по поступлению и выбытию активов</w:t>
            </w:r>
            <w:r w:rsidR="00EE28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Основание: пункт 54 СГС «Концептуальные основы бухучета и отчетности».</w:t>
            </w:r>
          </w:p>
          <w:p w:rsidR="00250D83" w:rsidRPr="008613A2" w:rsidRDefault="00250D83" w:rsidP="00261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.2.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</w:p>
          <w:p w:rsidR="00250D83" w:rsidRDefault="00250D83" w:rsidP="00C4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Основание: пункт 6 СГС «Учетная политика, оценочные значения и ошибки».</w:t>
            </w:r>
          </w:p>
          <w:p w:rsidR="00261F83" w:rsidRPr="00261F83" w:rsidRDefault="00EE28B1" w:rsidP="00261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5.3.9</w:t>
            </w:r>
            <w:r w:rsidR="00261F83" w:rsidRPr="00261F83">
              <w:rPr>
                <w:rFonts w:ascii="Times New Roman" w:hAnsi="Times New Roman" w:cs="Times New Roman"/>
                <w:sz w:val="26"/>
                <w:szCs w:val="26"/>
              </w:rPr>
              <w:t>. Учреждение не применяет ни к одной из групп объектов основных средств учет затрат на восстановление основных средств и сохранение эксплуатационных свойств основных средств методом замещения, предусмотренным пунктами 27 и 28 СГС «Основные средства».</w:t>
            </w:r>
          </w:p>
          <w:p w:rsidR="00250D83" w:rsidRPr="008613A2" w:rsidRDefault="00250D83" w:rsidP="00C4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2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. Начисление амортизации основных средств в бухгалтерском учете производится линейным способом в соответствии со сроками полезного использования основных средств.</w:t>
            </w:r>
          </w:p>
          <w:p w:rsidR="00250D83" w:rsidRPr="008613A2" w:rsidRDefault="00250D83" w:rsidP="00C4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3A2">
              <w:rPr>
                <w:rFonts w:ascii="Times New Roman" w:hAnsi="Times New Roman" w:cs="Times New Roman"/>
                <w:sz w:val="26"/>
                <w:szCs w:val="26"/>
              </w:rPr>
              <w:t>Основание: пункт 85 Инструкции к Единому плану счетов № 157н.</w:t>
            </w:r>
          </w:p>
          <w:p w:rsidR="00250D83" w:rsidRPr="008613A2" w:rsidRDefault="006806FA" w:rsidP="00C4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50D83" w:rsidRPr="008613A2">
              <w:rPr>
                <w:rFonts w:ascii="Times New Roman" w:hAnsi="Times New Roman" w:cs="Times New Roman"/>
                <w:sz w:val="26"/>
                <w:szCs w:val="26"/>
              </w:rPr>
              <w:t>.3.1</w:t>
            </w:r>
            <w:r w:rsidR="00EE2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0D83" w:rsidRPr="008613A2">
              <w:rPr>
                <w:rFonts w:ascii="Times New Roman" w:hAnsi="Times New Roman" w:cs="Times New Roman"/>
                <w:sz w:val="26"/>
                <w:szCs w:val="26"/>
              </w:rPr>
              <w:t>. Срок полезного использования объектов основных средств устанавливается комиссией по поступлению и выбытию активов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28B1" w:rsidRDefault="006806FA" w:rsidP="00EE28B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50D83" w:rsidRPr="008613A2">
              <w:rPr>
                <w:sz w:val="26"/>
                <w:szCs w:val="26"/>
              </w:rPr>
              <w:t>.3.1</w:t>
            </w:r>
            <w:r>
              <w:rPr>
                <w:sz w:val="26"/>
                <w:szCs w:val="26"/>
              </w:rPr>
              <w:t>5</w:t>
            </w:r>
            <w:r w:rsidR="00250D83" w:rsidRPr="008613A2">
              <w:rPr>
                <w:sz w:val="26"/>
                <w:szCs w:val="26"/>
              </w:rPr>
              <w:t>.</w:t>
            </w:r>
            <w:r w:rsidR="00EE28B1" w:rsidRPr="00F401FC">
              <w:rPr>
                <w:sz w:val="26"/>
                <w:szCs w:val="26"/>
              </w:rPr>
              <w:t>В случае необходимости восстановления основных средств комиссия по поступлению и выбытию активов оформляет свое решение (выявленные дефекты, целесообразность восстановления, оценочное значение расходов) посредством дефектной ведомости (форма</w:t>
            </w:r>
            <w:r w:rsidR="00EE28B1">
              <w:rPr>
                <w:sz w:val="26"/>
                <w:szCs w:val="26"/>
              </w:rPr>
              <w:t xml:space="preserve"> самостоятельно разработана и утверждена</w:t>
            </w:r>
            <w:r w:rsidR="00EE28B1" w:rsidRPr="00F401FC">
              <w:rPr>
                <w:sz w:val="26"/>
                <w:szCs w:val="26"/>
              </w:rPr>
              <w:t>)</w:t>
            </w:r>
            <w:r w:rsidR="00EE28B1">
              <w:rPr>
                <w:sz w:val="26"/>
                <w:szCs w:val="26"/>
              </w:rPr>
              <w:t>.</w:t>
            </w:r>
          </w:p>
          <w:p w:rsidR="008459A4" w:rsidRDefault="00F30D09" w:rsidP="0088198B">
            <w:pPr>
              <w:pStyle w:val="a6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  <w:r w:rsidRPr="00F30D09">
              <w:rPr>
                <w:sz w:val="26"/>
                <w:szCs w:val="26"/>
              </w:rPr>
              <w:t>5.</w:t>
            </w:r>
            <w:r w:rsidR="008459A4">
              <w:rPr>
                <w:sz w:val="26"/>
                <w:szCs w:val="26"/>
              </w:rPr>
              <w:t>5.1.</w:t>
            </w:r>
            <w:r w:rsidR="008459A4" w:rsidRPr="00F401FC">
              <w:rPr>
                <w:sz w:val="26"/>
                <w:szCs w:val="26"/>
              </w:rPr>
              <w:t xml:space="preserve"> Учреждение в составе прочих непроизведенных активов признает объектами учета выделенные Учреждению в установленном законом порядке радиочастотные спектры.</w:t>
            </w:r>
          </w:p>
          <w:p w:rsidR="008459A4" w:rsidRDefault="008459A4" w:rsidP="0088198B">
            <w:pPr>
              <w:pStyle w:val="a6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Основание: пункт 14 СГС «Непроизведенные активы», пункт 79 Инструкции к Единому плану счетов № 157н.</w:t>
            </w:r>
          </w:p>
          <w:p w:rsidR="00200387" w:rsidRPr="008613A2" w:rsidRDefault="0088198B" w:rsidP="00F87478">
            <w:pPr>
              <w:pStyle w:val="a6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ind w:firstLine="540"/>
              <w:jc w:val="both"/>
              <w:rPr>
                <w:iCs/>
                <w:sz w:val="26"/>
                <w:szCs w:val="26"/>
              </w:rPr>
            </w:pPr>
            <w:r w:rsidRPr="0088198B">
              <w:rPr>
                <w:sz w:val="26"/>
                <w:szCs w:val="26"/>
              </w:rPr>
              <w:t>5.5.2. Переоценка стоимости объектов непроизведенных активов до справедливой стоимости производит комиссия по поступлению и выбытию активов либо инвентаризационная комиссия перед составлением годовой бухгалтерской отчетности не ранее 01 октября каждого года.</w:t>
            </w:r>
          </w:p>
        </w:tc>
      </w:tr>
      <w:tr w:rsidR="00250D83" w:rsidRPr="008613A2" w:rsidTr="00123593">
        <w:tc>
          <w:tcPr>
            <w:tcW w:w="2410" w:type="dxa"/>
          </w:tcPr>
          <w:p w:rsidR="00250D83" w:rsidRPr="008613A2" w:rsidRDefault="00250D83" w:rsidP="00C405B3">
            <w:pPr>
              <w:pStyle w:val="a5"/>
              <w:ind w:left="31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50D83" w:rsidRPr="00BD7C64" w:rsidRDefault="00250D83" w:rsidP="00040D0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BD7C64">
              <w:rPr>
                <w:b/>
                <w:sz w:val="26"/>
                <w:szCs w:val="26"/>
              </w:rPr>
              <w:t>Затраты (расходы) учреждения</w:t>
            </w:r>
          </w:p>
          <w:p w:rsidR="00200387" w:rsidRPr="00200387" w:rsidRDefault="00200387" w:rsidP="00200387">
            <w:pPr>
              <w:pStyle w:val="a6"/>
              <w:spacing w:before="0" w:beforeAutospacing="0" w:after="0" w:afterAutospacing="0"/>
              <w:ind w:firstLine="398"/>
              <w:rPr>
                <w:sz w:val="26"/>
                <w:szCs w:val="26"/>
              </w:rPr>
            </w:pPr>
            <w:r w:rsidRPr="00200387">
              <w:rPr>
                <w:sz w:val="26"/>
                <w:szCs w:val="26"/>
              </w:rPr>
              <w:t>5.7.1. Расходы Учреждения, произведенные за отчетный период (месяц, квартал, год), относятся к одному виду деятельности (услуги): безопасность мореплавания.</w:t>
            </w:r>
          </w:p>
          <w:p w:rsidR="00200387" w:rsidRPr="00200387" w:rsidRDefault="00200387" w:rsidP="0020038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rPr>
                <w:sz w:val="26"/>
                <w:szCs w:val="26"/>
              </w:rPr>
            </w:pPr>
            <w:r w:rsidRPr="00200387">
              <w:rPr>
                <w:sz w:val="26"/>
                <w:szCs w:val="26"/>
              </w:rPr>
              <w:t>5.7.2. Расходы учреждения признаются прямыми и не подлежат распределению. Указанные расходы учитываются на б/сч 10960</w:t>
            </w:r>
            <w:r w:rsidRPr="00200387">
              <w:rPr>
                <w:iCs/>
                <w:sz w:val="26"/>
                <w:szCs w:val="26"/>
              </w:rPr>
              <w:t xml:space="preserve"> «Себестоимость готовой продукции, работ, услуг» в номенклатуре «Б</w:t>
            </w:r>
            <w:r w:rsidRPr="00200387">
              <w:rPr>
                <w:sz w:val="26"/>
                <w:szCs w:val="26"/>
              </w:rPr>
              <w:t xml:space="preserve">езопасность мореплавания»и относятся на уменьшение доходов текущего финансового года (списываются по окончании отчетного периода в дебет б/сч 401.10 «Доходы текущего финансового года»). </w:t>
            </w:r>
          </w:p>
          <w:p w:rsidR="00E161DF" w:rsidRDefault="00200387" w:rsidP="00E161DF">
            <w:pPr>
              <w:pStyle w:val="a6"/>
              <w:spacing w:before="0" w:beforeAutospacing="0" w:after="0" w:afterAutospacing="0"/>
              <w:ind w:firstLine="398"/>
              <w:jc w:val="both"/>
              <w:rPr>
                <w:bCs/>
                <w:sz w:val="26"/>
                <w:szCs w:val="26"/>
              </w:rPr>
            </w:pPr>
            <w:r w:rsidRPr="00200387">
              <w:rPr>
                <w:bCs/>
                <w:sz w:val="26"/>
                <w:szCs w:val="26"/>
              </w:rPr>
              <w:t>Расходы, произведенные для представительских целей, подлежат оформлению, учету и списанию в соответствие</w:t>
            </w:r>
            <w:r w:rsidRPr="00200387">
              <w:rPr>
                <w:sz w:val="26"/>
                <w:szCs w:val="26"/>
              </w:rPr>
              <w:t xml:space="preserve"> с </w:t>
            </w:r>
            <w:r w:rsidRPr="00200387">
              <w:rPr>
                <w:bCs/>
                <w:sz w:val="26"/>
                <w:szCs w:val="26"/>
              </w:rPr>
              <w:t>Порядком оформления и учета представительских расходов</w:t>
            </w:r>
            <w:r>
              <w:rPr>
                <w:bCs/>
                <w:sz w:val="26"/>
                <w:szCs w:val="26"/>
              </w:rPr>
              <w:t xml:space="preserve"> (</w:t>
            </w:r>
            <w:r w:rsidR="00F919EE" w:rsidRPr="00F919EE">
              <w:rPr>
                <w:bCs/>
                <w:sz w:val="26"/>
                <w:szCs w:val="26"/>
              </w:rPr>
              <w:t>утв. в составе Положения об учетной политике</w:t>
            </w:r>
            <w:r w:rsidR="00F919EE">
              <w:rPr>
                <w:bCs/>
                <w:sz w:val="26"/>
                <w:szCs w:val="26"/>
              </w:rPr>
              <w:t>)</w:t>
            </w:r>
            <w:r w:rsidRPr="00200387">
              <w:rPr>
                <w:bCs/>
                <w:sz w:val="26"/>
                <w:szCs w:val="26"/>
              </w:rPr>
              <w:t>.</w:t>
            </w:r>
          </w:p>
          <w:p w:rsidR="00200387" w:rsidRPr="008613A2" w:rsidRDefault="00200387" w:rsidP="00E161DF">
            <w:pPr>
              <w:pStyle w:val="a6"/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200387">
              <w:rPr>
                <w:sz w:val="26"/>
                <w:szCs w:val="26"/>
              </w:rPr>
              <w:t>Основание: абзац 3 пункта 134 Инструкции к Единому плану счетов № 157н.</w:t>
            </w:r>
          </w:p>
        </w:tc>
      </w:tr>
      <w:tr w:rsidR="00250D83" w:rsidRPr="008613A2" w:rsidTr="00123593">
        <w:tc>
          <w:tcPr>
            <w:tcW w:w="2410" w:type="dxa"/>
          </w:tcPr>
          <w:p w:rsidR="00250D83" w:rsidRPr="008613A2" w:rsidRDefault="00250D83" w:rsidP="00AD467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50D83" w:rsidRPr="00BD7C64" w:rsidRDefault="00250D83" w:rsidP="00040D0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840"/>
              <w:rPr>
                <w:b/>
                <w:sz w:val="26"/>
                <w:szCs w:val="26"/>
              </w:rPr>
            </w:pPr>
            <w:r w:rsidRPr="00BD7C64">
              <w:rPr>
                <w:b/>
                <w:sz w:val="26"/>
                <w:szCs w:val="26"/>
              </w:rPr>
              <w:t>Расходы будущих периодов</w:t>
            </w:r>
          </w:p>
          <w:p w:rsidR="00BD7C64" w:rsidRPr="00BD7C64" w:rsidRDefault="00BD7C64" w:rsidP="00BD7C6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 xml:space="preserve">Существенные расходы, произведенные (признанные в качестве обязательств) в текущем отчетном периоде - календарном году, но относящиеся к будущим отчетным периодам - календарным годам отражаются на счете 401.50 «Расходы будущих периодов» и равномерно включаются в текущие расходы (либо списываются на финансовый результат) текущего финансового года в течение периода, к которому они </w:t>
            </w:r>
            <w:r w:rsidRPr="00BD7C64">
              <w:rPr>
                <w:sz w:val="26"/>
                <w:szCs w:val="26"/>
              </w:rPr>
              <w:lastRenderedPageBreak/>
              <w:t xml:space="preserve">относятся. </w:t>
            </w:r>
          </w:p>
          <w:p w:rsidR="00BD7C64" w:rsidRPr="00BD7C64" w:rsidRDefault="00BD7C64" w:rsidP="00BD7C6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>Расходы на приобретение лицензий, неисключительных прав, программного обеспечения списываются единовременно на текущие расходы (не учитываются на счете 40150), если срок использования данных объектов учета (право пользования) истекает в текущем календарном году.</w:t>
            </w:r>
          </w:p>
          <w:p w:rsidR="00BD7C64" w:rsidRPr="00BD7C64" w:rsidRDefault="00BD7C64" w:rsidP="00BD7C6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 xml:space="preserve">Отнесение расходов в дебет счёта 109.60 либо 401.20 с кредита счёта 401.50 осуществляется ежемесячно равными частями исходя из срока действия договора (иного документа) на основании расчёта (справки-расчёта). </w:t>
            </w:r>
          </w:p>
          <w:p w:rsidR="00BD7C64" w:rsidRPr="00BD7C64" w:rsidRDefault="00BD7C64" w:rsidP="00BD7C6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 xml:space="preserve">В случае, когда в договоре срок его действия не определен, договор считается заключенным на пять лет, если комиссия по поступлению и выбытию активов не примет иное решение. </w:t>
            </w:r>
          </w:p>
          <w:p w:rsidR="00BD7C64" w:rsidRPr="00BD7C64" w:rsidRDefault="00BD7C64" w:rsidP="00BD7C64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 xml:space="preserve">При расчёте сумм списания расходов с кредита счёта 401.50 календарный месяц принимается равным 30-ти дням. Величина расходов за неполный календарный месяц исчисляется из расчёта количества календарных дней действия договора (иного документа-основания либо установленного срока). </w:t>
            </w:r>
          </w:p>
          <w:p w:rsidR="00BD7C64" w:rsidRPr="00BD7C64" w:rsidRDefault="00BD7C64" w:rsidP="00BD7C64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BD7C64">
              <w:rPr>
                <w:sz w:val="26"/>
                <w:szCs w:val="26"/>
              </w:rPr>
              <w:t xml:space="preserve">Существенными в данном случае признаются расходы, величина которых превышает 10 000 рублей. </w:t>
            </w:r>
          </w:p>
          <w:p w:rsidR="00250D83" w:rsidRPr="008613A2" w:rsidRDefault="00BD7C64" w:rsidP="00E161DF">
            <w:pPr>
              <w:pStyle w:val="a6"/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5F47C0">
              <w:rPr>
                <w:sz w:val="26"/>
                <w:szCs w:val="26"/>
              </w:rPr>
              <w:t>Основание:</w:t>
            </w:r>
            <w:hyperlink r:id="rId11" w:history="1">
              <w:r w:rsidRPr="005F47C0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пункт 4 статьи 1235</w:t>
              </w:r>
            </w:hyperlink>
            <w:r w:rsidRPr="005F47C0">
              <w:rPr>
                <w:sz w:val="26"/>
                <w:szCs w:val="26"/>
              </w:rPr>
              <w:t xml:space="preserve"> ГК РФ, пункт 302 Инструкции к Единому плану счетов № 157н.</w:t>
            </w:r>
          </w:p>
        </w:tc>
      </w:tr>
      <w:tr w:rsidR="00250D83" w:rsidRPr="008613A2" w:rsidTr="00123593">
        <w:tc>
          <w:tcPr>
            <w:tcW w:w="2410" w:type="dxa"/>
          </w:tcPr>
          <w:p w:rsidR="00250D83" w:rsidRPr="008613A2" w:rsidRDefault="00250D83" w:rsidP="00776A7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50D83" w:rsidRPr="00F919EE" w:rsidRDefault="00250D83" w:rsidP="00BD7C64">
            <w:pPr>
              <w:autoSpaceDE w:val="0"/>
              <w:autoSpaceDN w:val="0"/>
              <w:adjustRightInd w:val="0"/>
              <w:ind w:firstLine="8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Резервы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5.9.1.В целях равномерного отнесения расходов на финансовый результат в Учреждении создаются резервы предстоящих расходов: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резерв на оплату отпусков;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резерв по сомнительным долгам;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езерв по претензиям, искам.</w:t>
            </w:r>
          </w:p>
          <w:p w:rsidR="00F919EE" w:rsidRPr="00F919EE" w:rsidRDefault="00F919EE" w:rsidP="00F919E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F919EE">
              <w:rPr>
                <w:sz w:val="26"/>
                <w:szCs w:val="26"/>
              </w:rPr>
              <w:t xml:space="preserve">5.9.2. Порядок формирования резерва на оплату отпусков работников Учреждения, его расходования, инвентаризации и отражения в бухгалтерском учете </w:t>
            </w:r>
            <w:r>
              <w:rPr>
                <w:sz w:val="26"/>
                <w:szCs w:val="26"/>
              </w:rPr>
              <w:t>регулируется П</w:t>
            </w:r>
            <w:r w:rsidRPr="00F919EE">
              <w:rPr>
                <w:sz w:val="26"/>
                <w:szCs w:val="26"/>
              </w:rPr>
              <w:t>оложению</w:t>
            </w:r>
            <w:r w:rsidRPr="001007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утв. в составе Положения об учетной политике).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Основание: пункт 302.1 Инструкции к Единому плану счетов № 157н.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5.9.3. В целях равномерного отнесения на финансовый результат расходов по сомнительным долгам в Учреждении создается такой резерв по решению комиссии по поступлению и выбытию активов. 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Резерва по сомнительным долгам осуществляется в момент признания объекта учета – сомнительного долга. Сумма Резерва по сомнительным долгам оценивается в размере выявленной сомнительной задолженности. 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 отражается на забалансовом счете 04 в разрезе аналитического учета по контрагентам, документам-основаниям и равен сумме числящейся на нем дебиторской задолженности.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Основание: пункт 302.1 Инструкции к Едином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плану счетов № 157н, пункты 7</w:t>
            </w: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21 СГС «Резервы», </w:t>
            </w:r>
            <w:hyperlink r:id="rId12" w:anchor="/document/99/563895827/ZAP2OKM3PL/" w:tooltip="в части предстоящих расходов на оплату отпусков - в сумме предстоящей оплаты отпусков за фактически отработанное время" w:history="1">
              <w:r w:rsidRPr="00F919EE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пункт 10</w:t>
              </w:r>
            </w:hyperlink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СГС «Выплаты персоналу».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5.9.4. В целях отнесения на финансовый результат обязательств, возникающих из претензионных требований, исков по результатам фактов хозяйственной жизни, в том числе при досудебном (внесудебном) рассмотрении (по претензионным разбирательствам) в Учреждении создается Резерв по искам, претензиям.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искам и претензиям формируется в случае, когда Учреждение является стороной судебного разбирательства и планирует оспаривать предъявленные ему требования и иски.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Резерв по претензиям, искам признается в полной сумме претензионных и исковых требований, предъявленных контрагентами Учреждению, либо оценочных значений (расчетно-документально обоснованной оценки), исчисленных уполномоченной комиссией, оформленной актом, либо экспертной оценкой начальника юридического отдела, оформленной докладной запиской на имя руководителя. </w:t>
            </w:r>
          </w:p>
          <w:p w:rsid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признания резерва определяется датой поступления документов-оснований, подтверждающих возможн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 возникновения обязательств.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Аналитический учет ведется в разрезе контрагентов, документов-оснований, сроков наступления обязательств.</w:t>
            </w:r>
          </w:p>
          <w:p w:rsidR="00F919EE" w:rsidRPr="00F919EE" w:rsidRDefault="00F919EE" w:rsidP="00F919EE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 отражается на балансовом счете 401.60 «Резервы предстоящих расходов» (субконто «Резерв по сомнительным долгам») и равен сумме числящейся на нем дебиторской задолженности. Основание: пункт 6, 7, 9, 11, 22 СГС «Резервы».</w:t>
            </w:r>
          </w:p>
          <w:p w:rsidR="00007B86" w:rsidRPr="007D134C" w:rsidRDefault="00F919EE" w:rsidP="00E161DF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состоянию на 31.12 отчетного года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ыподлежа</w:t>
            </w:r>
            <w:r w:rsidRPr="00F91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инвентаризации.</w:t>
            </w:r>
          </w:p>
        </w:tc>
      </w:tr>
      <w:tr w:rsidR="003D55BE" w:rsidRPr="008613A2" w:rsidTr="00123593">
        <w:trPr>
          <w:trHeight w:val="4952"/>
        </w:trPr>
        <w:tc>
          <w:tcPr>
            <w:tcW w:w="2410" w:type="dxa"/>
          </w:tcPr>
          <w:p w:rsidR="003D55BE" w:rsidRPr="008613A2" w:rsidRDefault="003D55BE" w:rsidP="002C5F2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3D55BE" w:rsidRPr="003D55BE" w:rsidRDefault="003D55BE" w:rsidP="002C5F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851"/>
              <w:jc w:val="both"/>
              <w:rPr>
                <w:b/>
                <w:sz w:val="26"/>
                <w:szCs w:val="26"/>
              </w:rPr>
            </w:pPr>
            <w:r w:rsidRPr="003D55BE">
              <w:rPr>
                <w:b/>
                <w:bCs/>
                <w:sz w:val="26"/>
                <w:szCs w:val="26"/>
              </w:rPr>
              <w:t>Расчёт</w:t>
            </w:r>
            <w:r>
              <w:rPr>
                <w:b/>
                <w:bCs/>
                <w:sz w:val="26"/>
                <w:szCs w:val="26"/>
              </w:rPr>
              <w:t>ы с</w:t>
            </w:r>
            <w:r w:rsidRPr="003D55BE">
              <w:rPr>
                <w:b/>
                <w:bCs/>
                <w:sz w:val="26"/>
                <w:szCs w:val="26"/>
              </w:rPr>
              <w:t xml:space="preserve"> дебиторами и кредиторами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5.11.4. При квалификации задолженности в качестве сомнительной учитываются следующие обстоятельства: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нарушение должником сроков исполнения обязательства;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невозможность удержания имущества должника;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отсутствие обеспечения залогом, задатком, поручительством, банковской гарантией и т.п.;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значительные финансовые затруднения должника, о которых стало известно из СМИ или других проверяемых источников;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возбуждение процедуры банкротства в отношении должника.</w:t>
            </w:r>
          </w:p>
          <w:p w:rsidR="009B1D74" w:rsidRP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Обязательства должников, просрочка исполнения которых не превышает 45 дней, сомнительными не признаются.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5.11.7. Сомнительная дебиторская задолженность признается безнадежной к взысканию в случаях: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смерти физического лица - дебитора (должника) или объявления его умершим в порядке, установленном гражданским процессуальным законодательством Российской Федерации;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признания банкротом индивидуального предпринимателя - дебитора (должника) в соответствии с Федеральным </w:t>
            </w:r>
            <w:hyperlink r:id="rId13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26 октября 2002 года № 127-ФЗ «О несостоятельности </w:t>
            </w: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(банкротстве)» - в части задолженности, не погашенной по причине недостаточности имущества должника;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признания банкротом гражданина, не являющегося индивидуальным предпринимателем, в соответствии с Федеральным </w:t>
            </w:r>
            <w:hyperlink r:id="rId14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ликвидации организации - дебитора (должника) в части задолженности,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      </w:r>
            <w:hyperlink r:id="rId15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пунктом 3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hyperlink r:id="rId16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 части 1 статьи 46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 от 2 октября 2007 года № 229-ФЗ «Об исполнительном производстве», если с даты образования задолженности не прошло более пяти лет, в следующих случаях: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размер задолженности не превышает размера требований к должнику, установленного </w:t>
            </w:r>
            <w:hyperlink r:id="rId17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 несостоятельности (банкротстве) для возбуждения производства по делу о банкротстве;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      </w:r>
          </w:p>
          <w:p w:rsidR="009B1D74" w:rsidRPr="009B1D74" w:rsidRDefault="009B1D74" w:rsidP="009B1D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      </w:r>
            <w:hyperlink r:id="rId18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пунктом 3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hyperlink r:id="rId19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 части 1 статьи 46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      </w:r>
            <w:hyperlink r:id="rId20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</w:t>
            </w: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настоящим подпунктом, подлежит восстановлению в бюджетном (бухгалтерском) учете.</w:t>
            </w:r>
          </w:p>
          <w:p w:rsidR="009B1D74" w:rsidRDefault="009B1D74" w:rsidP="009B1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5.11.8. Руководитель Учреждения принимает решение о признании задолженности безнадежной к взысканию на основании документов, представленных инвентаризационной комиссией или комиссией по поступлению и выбытию активов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подтверждающих обстоятельств, предусмотренных </w:t>
            </w:r>
            <w:hyperlink r:id="rId21" w:history="1">
              <w:r w:rsidRPr="009B1D7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пунктом</w:t>
              </w:r>
            </w:hyperlink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5.11.7. настоящего положения.</w:t>
            </w:r>
          </w:p>
          <w:p w:rsidR="003D55BE" w:rsidRPr="008613A2" w:rsidRDefault="009B1D74" w:rsidP="00E16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5.11.9. Кредиторская задолженность, не востребованная кредитором, </w:t>
            </w:r>
            <w:r w:rsidR="00306154" w:rsidRPr="00306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исковой давности по которой истек</w:t>
            </w:r>
            <w:r w:rsidR="00306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B1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списывается на финансовый результат на основании приказа руководителя Учреждения</w:t>
            </w:r>
            <w:r w:rsidR="00306154" w:rsidRPr="00306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данных инвентаризации, решения комиссии по поступлению и выбытию активов и подтверждающих обстоятельств, изложенных в докладной записке главного бухгалтера о выявлении кредиторской задолженности</w:t>
            </w:r>
            <w:r w:rsidR="00A77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50D83" w:rsidRPr="008613A2" w:rsidTr="00E161DF">
        <w:trPr>
          <w:trHeight w:val="725"/>
        </w:trPr>
        <w:tc>
          <w:tcPr>
            <w:tcW w:w="2410" w:type="dxa"/>
          </w:tcPr>
          <w:p w:rsidR="00250D83" w:rsidRPr="008613A2" w:rsidRDefault="00250D83" w:rsidP="00E7237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50D83" w:rsidRPr="00BF35B4" w:rsidRDefault="00250D83" w:rsidP="00040D04">
            <w:pPr>
              <w:pStyle w:val="a6"/>
              <w:spacing w:before="0" w:beforeAutospacing="0" w:after="0" w:afterAutospacing="0"/>
              <w:ind w:firstLine="410"/>
              <w:jc w:val="both"/>
              <w:rPr>
                <w:b/>
                <w:sz w:val="26"/>
                <w:szCs w:val="26"/>
              </w:rPr>
            </w:pPr>
            <w:r w:rsidRPr="00BF35B4">
              <w:rPr>
                <w:b/>
                <w:sz w:val="26"/>
                <w:szCs w:val="26"/>
              </w:rPr>
              <w:t>Финансовый результат</w:t>
            </w:r>
          </w:p>
          <w:p w:rsidR="00D07489" w:rsidRPr="00D07489" w:rsidRDefault="00D07489" w:rsidP="00152A30">
            <w:pPr>
              <w:pStyle w:val="a6"/>
              <w:spacing w:before="0" w:beforeAutospacing="0" w:after="0" w:afterAutospacing="0"/>
              <w:ind w:firstLine="398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 xml:space="preserve">5.13.1. Расходы, которые не подлежат отнесению к прямым, списываются непосредственно на финансовый результат (дебет счета 401.10 либо 401.20). 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В дебет счёта 401.10 включатся: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- начисленные суммы налога на прибыль;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- начисленные суммы налога на добавленную стоимость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- начисленные суммы курсовой разницы по переоценке валюты.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В дебет счёта 401.20 включатся: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- расходы на социальные выплаты, производимые в соответствии с Положением об оплате и стимулировании труда (материальная помощь и др.);</w:t>
            </w:r>
          </w:p>
          <w:p w:rsidR="00D07489" w:rsidRPr="00D07489" w:rsidRDefault="00D07489" w:rsidP="00D0748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- штрафы и пени по налогам, штрафы, пени, неустойки за нарушение условий договоров.</w:t>
            </w:r>
          </w:p>
          <w:p w:rsidR="00D07489" w:rsidRPr="00D07489" w:rsidRDefault="00D07489" w:rsidP="00D07489">
            <w:pPr>
              <w:pStyle w:val="a6"/>
              <w:spacing w:before="0" w:beforeAutospacing="0" w:after="0" w:afterAutospacing="0"/>
              <w:ind w:firstLine="851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 xml:space="preserve">Указанные расходы относятся на увеличение расходов текущего финансового года. </w:t>
            </w:r>
          </w:p>
          <w:p w:rsidR="00D07489" w:rsidRPr="00D07489" w:rsidRDefault="00D07489" w:rsidP="00152A30">
            <w:pPr>
              <w:pStyle w:val="a6"/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5.13.2. Расходы, подлежащие нормированию (расходы на междугородные переговоры, за пользование услугами сотовой связи, стоимость израсходованных горюче-смазочных материалов с учетом сезонности и местонахождения транспортного средства), относятся на счёт 109.60 в пределах норм. Расходы, превышающие нормы, относятся на финансовые результаты (дебет счёта 401.20) по распоряжению руководителя.</w:t>
            </w:r>
          </w:p>
          <w:p w:rsidR="00D07489" w:rsidRPr="00D07489" w:rsidRDefault="00D07489" w:rsidP="00152A3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Основание: пункт 135 Инструкции к Единому плану</w:t>
            </w:r>
            <w:r w:rsidR="00E161DF">
              <w:rPr>
                <w:iCs/>
                <w:sz w:val="26"/>
                <w:szCs w:val="26"/>
              </w:rPr>
              <w:t xml:space="preserve"> счетов № 157н, пункты 62, 153 </w:t>
            </w:r>
            <w:r w:rsidRPr="00D07489">
              <w:rPr>
                <w:iCs/>
                <w:sz w:val="26"/>
                <w:szCs w:val="26"/>
              </w:rPr>
              <w:t>Инструкции № 174н.</w:t>
            </w:r>
          </w:p>
          <w:p w:rsidR="00D07489" w:rsidRPr="00D07489" w:rsidRDefault="00D07489" w:rsidP="00152A30">
            <w:pPr>
              <w:pStyle w:val="a6"/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5.13.3. Расходы, сформированные на счёте 109.60 в последний календарный день отчетного периода подлежат списанию на финансовый результат – в дебет счёта 401.10.</w:t>
            </w:r>
          </w:p>
          <w:p w:rsidR="00250D83" w:rsidRPr="008613A2" w:rsidRDefault="00D07489" w:rsidP="006454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D07489">
              <w:rPr>
                <w:iCs/>
                <w:sz w:val="26"/>
                <w:szCs w:val="26"/>
              </w:rPr>
              <w:t>Основание: пункт 134, 135, 138, 296 Инструкции к Единому плану счетов № 157н</w:t>
            </w:r>
            <w:r w:rsidR="00E161DF">
              <w:rPr>
                <w:iCs/>
                <w:sz w:val="26"/>
                <w:szCs w:val="26"/>
              </w:rPr>
              <w:t>.</w:t>
            </w:r>
          </w:p>
        </w:tc>
      </w:tr>
      <w:tr w:rsidR="00250D83" w:rsidRPr="008613A2" w:rsidTr="00123593">
        <w:tc>
          <w:tcPr>
            <w:tcW w:w="2410" w:type="dxa"/>
          </w:tcPr>
          <w:p w:rsidR="00E16A25" w:rsidRPr="008613A2" w:rsidRDefault="00E16A25" w:rsidP="00152A30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4" w:firstLine="326"/>
              <w:rPr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t xml:space="preserve">Инвентаризация имущества и </w:t>
            </w:r>
            <w:r w:rsidRPr="008613A2">
              <w:rPr>
                <w:sz w:val="26"/>
                <w:szCs w:val="26"/>
              </w:rPr>
              <w:lastRenderedPageBreak/>
              <w:t>обязательств</w:t>
            </w:r>
          </w:p>
          <w:p w:rsidR="00250D83" w:rsidRPr="008613A2" w:rsidRDefault="00250D83" w:rsidP="00776A7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50D83" w:rsidRPr="008613A2" w:rsidRDefault="00250D83" w:rsidP="00BD7C64">
            <w:pPr>
              <w:pStyle w:val="a6"/>
              <w:numPr>
                <w:ilvl w:val="1"/>
                <w:numId w:val="10"/>
              </w:numPr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lastRenderedPageBreak/>
              <w:t xml:space="preserve">Инвентаризация имущества, финансовых активов и обязательств, проводимая перед составлением годовой </w:t>
            </w:r>
            <w:r w:rsidRPr="008613A2">
              <w:rPr>
                <w:sz w:val="26"/>
                <w:szCs w:val="26"/>
              </w:rPr>
              <w:lastRenderedPageBreak/>
              <w:t>бухгалтерской (финансовой) отчетности, проводится один раз в год после 01 октября текущего финансового года (в</w:t>
            </w:r>
            <w:r w:rsidR="00E2471E">
              <w:rPr>
                <w:sz w:val="26"/>
                <w:szCs w:val="26"/>
              </w:rPr>
              <w:t xml:space="preserve"> отношении основны</w:t>
            </w:r>
            <w:r w:rsidR="006D054E">
              <w:rPr>
                <w:sz w:val="26"/>
                <w:szCs w:val="26"/>
              </w:rPr>
              <w:t>х</w:t>
            </w:r>
            <w:r w:rsidR="00E2471E">
              <w:rPr>
                <w:sz w:val="26"/>
                <w:szCs w:val="26"/>
              </w:rPr>
              <w:t xml:space="preserve"> средства – один</w:t>
            </w:r>
            <w:r w:rsidRPr="008613A2">
              <w:rPr>
                <w:sz w:val="26"/>
                <w:szCs w:val="26"/>
              </w:rPr>
              <w:t xml:space="preserve"> раз в три года).</w:t>
            </w:r>
          </w:p>
          <w:p w:rsidR="00250D83" w:rsidRPr="008613A2" w:rsidRDefault="00250D83" w:rsidP="006D054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iCs/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t xml:space="preserve">Основание: статья 11 Закона от </w:t>
            </w:r>
            <w:r w:rsidR="006D054E">
              <w:rPr>
                <w:sz w:val="26"/>
                <w:szCs w:val="26"/>
              </w:rPr>
              <w:t>06.12.2011</w:t>
            </w:r>
            <w:r w:rsidRPr="008613A2">
              <w:rPr>
                <w:sz w:val="26"/>
                <w:szCs w:val="26"/>
              </w:rPr>
              <w:t xml:space="preserve"> № 402-ФЗ, пункт 1.5 Методических указаний, утвержденных приказом Минфина России от 13</w:t>
            </w:r>
            <w:r w:rsidR="006D054E">
              <w:rPr>
                <w:sz w:val="26"/>
                <w:szCs w:val="26"/>
              </w:rPr>
              <w:t>.06.1995</w:t>
            </w:r>
            <w:r w:rsidRPr="008613A2">
              <w:rPr>
                <w:sz w:val="26"/>
                <w:szCs w:val="26"/>
              </w:rPr>
              <w:t xml:space="preserve"> № 49.</w:t>
            </w:r>
          </w:p>
        </w:tc>
      </w:tr>
      <w:tr w:rsidR="00152A30" w:rsidRPr="008613A2" w:rsidTr="00123593">
        <w:tc>
          <w:tcPr>
            <w:tcW w:w="2410" w:type="dxa"/>
          </w:tcPr>
          <w:p w:rsidR="00152A30" w:rsidRPr="00C30CB1" w:rsidRDefault="00152A30" w:rsidP="00152A30">
            <w:pPr>
              <w:pStyle w:val="a6"/>
              <w:spacing w:before="0" w:beforeAutospacing="0" w:after="0" w:afterAutospacing="0"/>
              <w:ind w:firstLine="390"/>
              <w:rPr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7. </w:t>
            </w:r>
            <w:r w:rsidRPr="00C30CB1">
              <w:rPr>
                <w:bCs/>
                <w:sz w:val="26"/>
                <w:szCs w:val="26"/>
              </w:rPr>
              <w:t>Технология обработки учетной информации и формирования отчетности</w:t>
            </w:r>
          </w:p>
        </w:tc>
        <w:tc>
          <w:tcPr>
            <w:tcW w:w="7655" w:type="dxa"/>
          </w:tcPr>
          <w:p w:rsidR="00152A30" w:rsidRPr="00F401FC" w:rsidRDefault="00152A30" w:rsidP="002C5F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7.1. Обработка учетной информации ведется с применением программного продукта «1С: Предприятие», конфигурации «Бухгалтерии государственно</w:t>
            </w:r>
            <w:r>
              <w:rPr>
                <w:sz w:val="26"/>
                <w:szCs w:val="26"/>
              </w:rPr>
              <w:t>го учреждения 8, редакция 2.0».</w:t>
            </w:r>
          </w:p>
          <w:p w:rsidR="00152A30" w:rsidRPr="00F401FC" w:rsidRDefault="00152A30" w:rsidP="00152A3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Обработка учетной информации по численному составу работников, использованию рабочего времени, исчислению заработной платы и прочих выплат ведется с применением программного продукта «1С: Предприятие», конфигурации «Зарплата и кадры государственного учреждения, редакция 3.1»</w:t>
            </w:r>
            <w:r>
              <w:rPr>
                <w:sz w:val="26"/>
                <w:szCs w:val="26"/>
              </w:rPr>
              <w:t>.</w:t>
            </w:r>
          </w:p>
          <w:p w:rsidR="00152A30" w:rsidRDefault="00152A30" w:rsidP="002C5F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Основание: пункт 6 Инструкции</w:t>
            </w:r>
            <w:r>
              <w:rPr>
                <w:sz w:val="26"/>
                <w:szCs w:val="26"/>
              </w:rPr>
              <w:t xml:space="preserve"> к Единому плану счетов № 157н.</w:t>
            </w:r>
          </w:p>
          <w:p w:rsidR="00152A30" w:rsidRPr="00F401FC" w:rsidRDefault="00152A30" w:rsidP="00152A3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 xml:space="preserve">7.2. Формирование бухгалтерской (финансовой), налоговой и статистической отчетности осуществляется посредством </w:t>
            </w:r>
            <w:r>
              <w:rPr>
                <w:sz w:val="26"/>
                <w:szCs w:val="26"/>
              </w:rPr>
              <w:t xml:space="preserve">применяемых </w:t>
            </w:r>
            <w:r w:rsidRPr="00F401FC">
              <w:rPr>
                <w:sz w:val="26"/>
                <w:szCs w:val="26"/>
              </w:rPr>
              <w:t>программ в форматах, отвечающих требованиям пользователей (получателей) отчетности.</w:t>
            </w:r>
          </w:p>
          <w:p w:rsidR="00152A30" w:rsidRPr="008613A2" w:rsidRDefault="00152A30" w:rsidP="002C5F2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</w:p>
        </w:tc>
      </w:tr>
      <w:tr w:rsidR="00106A95" w:rsidRPr="008613A2" w:rsidTr="00123593">
        <w:tc>
          <w:tcPr>
            <w:tcW w:w="2410" w:type="dxa"/>
          </w:tcPr>
          <w:p w:rsidR="00152A30" w:rsidRPr="00152A30" w:rsidRDefault="00152A30" w:rsidP="0015383E">
            <w:pPr>
              <w:pStyle w:val="a6"/>
              <w:tabs>
                <w:tab w:val="left" w:pos="916"/>
              </w:tabs>
              <w:ind w:firstLine="317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8. Бухгалтерская (финансовая) отчетность</w:t>
            </w:r>
          </w:p>
          <w:p w:rsidR="00106A95" w:rsidRPr="00C30CB1" w:rsidRDefault="00106A95" w:rsidP="00106A95">
            <w:pPr>
              <w:pStyle w:val="a6"/>
              <w:spacing w:before="0" w:beforeAutospacing="0" w:after="0" w:afterAutospacing="0"/>
              <w:ind w:left="390"/>
              <w:rPr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152A30" w:rsidRPr="00152A30" w:rsidRDefault="00152A30" w:rsidP="00152A30">
            <w:pPr>
              <w:pStyle w:val="a6"/>
              <w:tabs>
                <w:tab w:val="left" w:pos="91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8.1. Бухгалтерская (финансовая) и промежуточная отчетность формируется на основании аналитического и синтетического учетов по формам, в объеме и в сроки, установленные учредителем и Инструкцией о порядке составления, представления годовой квартальной отчетности государственных (муниципальных) бюджетных и автономных учреждений (приказ Минфина России от 25.03.2011 № 33н).</w:t>
            </w:r>
          </w:p>
          <w:p w:rsidR="00152A30" w:rsidRPr="00152A30" w:rsidRDefault="00152A30" w:rsidP="00152A30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В части операций с бюджетными средствами (КФО:1, 4) составляется бюджетная отчетность в соответствии с приказом Минфина России от 28.12.2010 № 191н.</w:t>
            </w:r>
          </w:p>
          <w:p w:rsidR="00152A30" w:rsidRPr="00152A30" w:rsidRDefault="00152A30" w:rsidP="00152A30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8.2. Бухгалтерская (финансовая)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их оценка в денежном выражении раскрываются в разделе 5 текстовой части пояснительной записки (ф. 0503760).</w:t>
            </w:r>
          </w:p>
          <w:p w:rsidR="00152A30" w:rsidRPr="00152A30" w:rsidRDefault="00152A30" w:rsidP="00152A30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Основание: пункт 3 Инструкции к Единому плану счетов № 157н.</w:t>
            </w:r>
          </w:p>
          <w:p w:rsidR="00152A30" w:rsidRPr="00152A30" w:rsidRDefault="00152A30" w:rsidP="00152A30">
            <w:pPr>
              <w:pStyle w:val="a6"/>
              <w:tabs>
                <w:tab w:val="left" w:pos="916"/>
                <w:tab w:val="left" w:pos="1832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8.3. Формы бухгалтерской (финансовой) и промежуточной отчетности представляются в Росморречфлот в электронном виде в государственной интегрированной системе управления общественными финансами «Электронный бюджет» в сроки, установленные учредителем. Формы выводятся на бумажный носитель в двух экземплярах, каждый из которых подписывается уполномоченными лицами Учреждения. Один экземпляр представляется в Росморречфлот после принятия отчетности в электронном виде, второй хранится в бухгалтерии Учреждения до передачи в архив.</w:t>
            </w:r>
          </w:p>
          <w:p w:rsidR="00106A95" w:rsidRPr="008613A2" w:rsidRDefault="00152A30" w:rsidP="00E161DF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2A30">
              <w:rPr>
                <w:sz w:val="26"/>
                <w:szCs w:val="26"/>
              </w:rPr>
              <w:t>Основание: часть 7.1 статьи 13 Закона от 06.12.2011 № 402-</w:t>
            </w:r>
            <w:r w:rsidRPr="00152A30">
              <w:rPr>
                <w:sz w:val="26"/>
                <w:szCs w:val="26"/>
              </w:rPr>
              <w:lastRenderedPageBreak/>
              <w:t>ФЗ.</w:t>
            </w:r>
          </w:p>
        </w:tc>
      </w:tr>
      <w:tr w:rsidR="00106A95" w:rsidRPr="008613A2" w:rsidTr="00123593">
        <w:tc>
          <w:tcPr>
            <w:tcW w:w="2410" w:type="dxa"/>
          </w:tcPr>
          <w:p w:rsidR="00106A95" w:rsidRPr="008613A2" w:rsidRDefault="00AA6CEC" w:rsidP="00AA6CEC">
            <w:pPr>
              <w:pStyle w:val="a6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17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9. </w:t>
            </w:r>
            <w:r w:rsidR="00106A95" w:rsidRPr="008613A2">
              <w:rPr>
                <w:bCs/>
                <w:sz w:val="26"/>
                <w:szCs w:val="26"/>
              </w:rPr>
              <w:t>Правила документооборота</w:t>
            </w:r>
          </w:p>
          <w:p w:rsidR="00106A95" w:rsidRPr="008613A2" w:rsidRDefault="00106A95" w:rsidP="00776A7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15383E" w:rsidRPr="0015383E" w:rsidRDefault="0015383E" w:rsidP="0015383E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Учреждение отдает приоритет электронному способу формирования и применения первичных учетных документов и регистров. 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Порядок и сроки создания и передачи </w:t>
            </w:r>
            <w:r w:rsidRPr="0015383E">
              <w:rPr>
                <w:bCs/>
                <w:sz w:val="26"/>
                <w:szCs w:val="26"/>
              </w:rPr>
              <w:t>п</w:t>
            </w:r>
            <w:r w:rsidRPr="0015383E">
              <w:rPr>
                <w:sz w:val="26"/>
                <w:szCs w:val="26"/>
              </w:rPr>
              <w:t xml:space="preserve">ервичных учетных документов (в том числе электронных) для отражения их в бухгалтерском учете устанавливаются графиком документооборота, который утверждается приказом руководителя (далее – График документооборота). </w:t>
            </w:r>
          </w:p>
          <w:p w:rsidR="0015383E" w:rsidRPr="0015383E" w:rsidRDefault="0015383E" w:rsidP="0015383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 Основание: пункт 22 СГС «Концептуальные основы бухучета и отчетности», подпункт «д» пункта 9 СГС «Учетная политика, оценочные значения и ошибки».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 Учреждение одновременно применяет первичные и сводные учетные документы на бумажных носителях информации, заверенные собственноручной подписью, а также сформированные электронно (электронные документы), подписанные электронной подписью (простой либо квалифицированной).</w:t>
            </w:r>
          </w:p>
          <w:p w:rsidR="0015383E" w:rsidRPr="0015383E" w:rsidRDefault="0015383E" w:rsidP="0015383E">
            <w:pPr>
              <w:pStyle w:val="a6"/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Переход на электронный способ формирования </w:t>
            </w:r>
            <w:r w:rsidRPr="0015383E">
              <w:rPr>
                <w:bCs/>
                <w:sz w:val="26"/>
                <w:szCs w:val="26"/>
              </w:rPr>
              <w:t>п</w:t>
            </w:r>
            <w:r w:rsidRPr="0015383E">
              <w:rPr>
                <w:sz w:val="26"/>
                <w:szCs w:val="26"/>
              </w:rPr>
              <w:t xml:space="preserve">ервичных учетных документов и регистров осуществляется по мере организационно-технической готовности посредством включения электронных форм в График документооборота. </w:t>
            </w:r>
          </w:p>
          <w:p w:rsidR="0015383E" w:rsidRPr="0015383E" w:rsidRDefault="0015383E" w:rsidP="0015383E">
            <w:pPr>
              <w:pStyle w:val="a6"/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 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 Форма электронного документа подлежит включению в График документооборота при наличии технических средств и возможностей применения электронного документа. </w:t>
            </w:r>
          </w:p>
          <w:p w:rsidR="0015383E" w:rsidRPr="0015383E" w:rsidRDefault="0015383E" w:rsidP="0015383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Персональный состав лиц, ответственных за формирование, согласование и подписание электронных документов, назначается приказом руководителя.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 Учреждение применяет для отражения объектов учета и фактов хозяйственной жизни следующие формы первичных учетных документов и регистров:</w:t>
            </w:r>
          </w:p>
          <w:p w:rsidR="0015383E" w:rsidRPr="0015383E" w:rsidRDefault="0015383E" w:rsidP="0015383E">
            <w:pPr>
              <w:pStyle w:val="a6"/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- унифицированные, утвержденные Приказом № 52н;</w:t>
            </w:r>
          </w:p>
          <w:p w:rsidR="0015383E" w:rsidRPr="0015383E" w:rsidRDefault="0015383E" w:rsidP="0015383E">
            <w:pPr>
              <w:pStyle w:val="a6"/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- унифицированные электронные, утвержденные Приказом № 61н;</w:t>
            </w:r>
          </w:p>
          <w:p w:rsidR="0015383E" w:rsidRPr="0015383E" w:rsidRDefault="0015383E" w:rsidP="0015383E">
            <w:pPr>
              <w:pStyle w:val="a6"/>
              <w:spacing w:before="0" w:beforeAutospacing="0" w:after="0" w:afterAutospacing="0"/>
              <w:ind w:left="114" w:firstLine="284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- унифицированные, утвержденные правовыми актами уполномоченных органов исполнительной власти (при их отсутствии в </w:t>
            </w:r>
            <w:hyperlink r:id="rId22" w:history="1">
              <w:r w:rsidRPr="0015383E">
                <w:rPr>
                  <w:rStyle w:val="a4"/>
                  <w:color w:val="auto"/>
                  <w:sz w:val="26"/>
                  <w:szCs w:val="26"/>
                  <w:u w:val="none"/>
                </w:rPr>
                <w:t>Приказе</w:t>
              </w:r>
            </w:hyperlink>
            <w:r w:rsidRPr="0015383E">
              <w:rPr>
                <w:sz w:val="26"/>
                <w:szCs w:val="26"/>
              </w:rPr>
              <w:t xml:space="preserve"> № 52н, 61н);</w:t>
            </w:r>
          </w:p>
          <w:p w:rsidR="0015383E" w:rsidRDefault="0015383E" w:rsidP="0015383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- неунифицированные, самостоятельно разработанные</w:t>
            </w:r>
            <w:r>
              <w:rPr>
                <w:sz w:val="26"/>
                <w:szCs w:val="26"/>
              </w:rPr>
              <w:t xml:space="preserve"> (утвв составе Положения об учетной политике).</w:t>
            </w:r>
          </w:p>
          <w:p w:rsidR="0015383E" w:rsidRPr="008613A2" w:rsidRDefault="0015383E" w:rsidP="0015383E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t xml:space="preserve">Перечень самостоятельно разработанных форм: 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spacing w:before="0" w:beforeAutospacing="0" w:after="0" w:afterAutospacing="0"/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Расчет портовых сборов;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Рабочий лист агрегата;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Материальный отчет о расходе ГСМ;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Материальный отчет о расходе ГСМ агрегатом;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 xml:space="preserve">Акт об отнесении представительских расходов на </w:t>
            </w:r>
            <w:r w:rsidRPr="0015383E">
              <w:rPr>
                <w:sz w:val="26"/>
                <w:szCs w:val="26"/>
              </w:rPr>
              <w:lastRenderedPageBreak/>
              <w:t>затраты;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Путевой лист автомобиля и Памятка по оформлению путевого листа автомобиля;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Путевой лист маломерного судна;</w:t>
            </w:r>
          </w:p>
          <w:p w:rsid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spacing w:before="0" w:beforeAutospacing="0" w:after="0" w:afterAutospacing="0"/>
              <w:ind w:left="114" w:firstLine="284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Карточка учета работы автомобильной шины с рисунком протектора, предназначенной для эксплуатации в летний/зимний период;</w:t>
            </w:r>
          </w:p>
          <w:p w:rsidR="0015383E" w:rsidRPr="0015383E" w:rsidRDefault="0015383E" w:rsidP="0015383E">
            <w:pPr>
              <w:pStyle w:val="a6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</w:tabs>
              <w:spacing w:before="0" w:beforeAutospacing="0" w:after="0" w:afterAutospacing="0"/>
              <w:ind w:hanging="869"/>
              <w:rPr>
                <w:sz w:val="26"/>
                <w:szCs w:val="26"/>
              </w:rPr>
            </w:pPr>
            <w:r w:rsidRPr="0015383E">
              <w:rPr>
                <w:sz w:val="26"/>
                <w:szCs w:val="26"/>
              </w:rPr>
              <w:t>Карточка учета работы аккумуляторных батарей.</w:t>
            </w:r>
          </w:p>
          <w:p w:rsidR="00C546A4" w:rsidRDefault="00C546A4" w:rsidP="00C546A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Основание: пункт 7 Инструкции к Единому плану счетов; 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      </w:r>
          </w:p>
          <w:p w:rsidR="00293DFC" w:rsidRDefault="00293DFC" w:rsidP="00293DFC">
            <w:pPr>
              <w:pStyle w:val="a6"/>
              <w:spacing w:before="0" w:beforeAutospacing="0" w:after="0" w:afterAutospacing="0"/>
              <w:ind w:firstLine="4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9.7. </w:t>
            </w:r>
            <w:r w:rsidR="00DC0721" w:rsidRPr="00DC0721">
              <w:rPr>
                <w:sz w:val="26"/>
                <w:szCs w:val="26"/>
              </w:rPr>
              <w:t>При поступлении документов на иностранном языке построчный перевод таких документов на русский язык осуществляет работник Учреждения, чья должностная инструкция содержит требования к знанию определенного иностранного языка.</w:t>
            </w:r>
          </w:p>
          <w:p w:rsidR="00DC0721" w:rsidRPr="00DC0721" w:rsidRDefault="00293DFC" w:rsidP="00293DFC">
            <w:pPr>
              <w:pStyle w:val="a6"/>
              <w:spacing w:before="0" w:beforeAutospacing="0" w:after="0" w:afterAutospacing="0"/>
              <w:ind w:firstLine="4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9.8. </w:t>
            </w:r>
            <w:r w:rsidR="00DC0721" w:rsidRPr="00DC0721">
              <w:rPr>
                <w:sz w:val="26"/>
                <w:szCs w:val="26"/>
              </w:rPr>
              <w:t>Перевод оформляется отдельным документом, заверяется подписью работника, выполнившего перевод, и прикладывается к первичным документам.</w:t>
            </w:r>
          </w:p>
          <w:p w:rsidR="00DC0721" w:rsidRPr="00DC0721" w:rsidRDefault="00DC0721" w:rsidP="00DC0721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DC0721">
              <w:rPr>
                <w:sz w:val="26"/>
                <w:szCs w:val="26"/>
              </w:rPr>
              <w:t>К выполнению перевода документа может привлекается профессиональный переводчик. Перевод денежных (финансовых) документов заверяется нотариально.</w:t>
            </w:r>
          </w:p>
          <w:p w:rsidR="00DC0721" w:rsidRPr="00DC0721" w:rsidRDefault="00DC0721" w:rsidP="00DC0721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DC0721">
              <w:rPr>
                <w:sz w:val="26"/>
                <w:szCs w:val="26"/>
              </w:rPr>
              <w:t>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постоянных показателей достаточно однократного перевода на русский язык. Впоследствии переводить нужно только изменяющиеся показатели данного первичного документа.</w:t>
            </w:r>
          </w:p>
          <w:p w:rsidR="00106A95" w:rsidRDefault="00DC0721" w:rsidP="003E79E1">
            <w:pPr>
              <w:pStyle w:val="a6"/>
              <w:spacing w:before="0" w:beforeAutospacing="0" w:after="0" w:afterAutospacing="0"/>
              <w:ind w:firstLine="398"/>
              <w:rPr>
                <w:sz w:val="26"/>
                <w:szCs w:val="26"/>
              </w:rPr>
            </w:pPr>
            <w:r w:rsidRPr="00DC0721">
              <w:rPr>
                <w:sz w:val="26"/>
                <w:szCs w:val="26"/>
              </w:rPr>
              <w:t>Основание: пункт 31 СГС «Концептуальные основы бухучета и отчетности».</w:t>
            </w:r>
          </w:p>
          <w:p w:rsidR="00DC0721" w:rsidRPr="00DC0721" w:rsidRDefault="009E0E4F" w:rsidP="00FB75B9">
            <w:pPr>
              <w:pStyle w:val="a6"/>
              <w:spacing w:before="0" w:beforeAutospacing="0" w:after="0" w:afterAutospacing="0"/>
              <w:ind w:firstLine="4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9.10. </w:t>
            </w:r>
            <w:r w:rsidR="00DC0721" w:rsidRPr="00DC0721">
              <w:rPr>
                <w:sz w:val="26"/>
                <w:szCs w:val="26"/>
              </w:rPr>
              <w:t>Особенности применения унифицированных форм.</w:t>
            </w:r>
          </w:p>
          <w:p w:rsidR="00E161DF" w:rsidRDefault="00DC0721" w:rsidP="00FB75B9">
            <w:pPr>
              <w:pStyle w:val="a6"/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DC0721">
              <w:rPr>
                <w:sz w:val="26"/>
                <w:szCs w:val="26"/>
              </w:rPr>
              <w:t xml:space="preserve">Табель учета использования рабочего времени (ф. 0504421) для регистрации случаев отклонений от нормального использования рабочего времени дополнен </w:t>
            </w:r>
            <w:r w:rsidR="00B52326">
              <w:rPr>
                <w:sz w:val="26"/>
                <w:szCs w:val="26"/>
              </w:rPr>
              <w:t>у</w:t>
            </w:r>
            <w:r w:rsidRPr="00DC0721">
              <w:rPr>
                <w:sz w:val="26"/>
                <w:szCs w:val="26"/>
              </w:rPr>
              <w:t>словными обознач</w:t>
            </w:r>
            <w:r w:rsidR="00B52326">
              <w:rPr>
                <w:sz w:val="26"/>
                <w:szCs w:val="26"/>
              </w:rPr>
              <w:t>ениями, расширено п</w:t>
            </w:r>
            <w:r w:rsidRPr="00DC0721">
              <w:rPr>
                <w:sz w:val="26"/>
                <w:szCs w:val="26"/>
              </w:rPr>
              <w:t>рименение</w:t>
            </w:r>
            <w:r w:rsidR="00E161DF">
              <w:rPr>
                <w:sz w:val="26"/>
                <w:szCs w:val="26"/>
              </w:rPr>
              <w:t xml:space="preserve"> унифицированных</w:t>
            </w:r>
            <w:r w:rsidRPr="00DC0721">
              <w:rPr>
                <w:sz w:val="26"/>
                <w:szCs w:val="26"/>
              </w:rPr>
              <w:t>буквенн</w:t>
            </w:r>
            <w:r w:rsidR="00E161DF">
              <w:rPr>
                <w:sz w:val="26"/>
                <w:szCs w:val="26"/>
              </w:rPr>
              <w:t>ых</w:t>
            </w:r>
            <w:r w:rsidRPr="00DC0721">
              <w:rPr>
                <w:sz w:val="26"/>
                <w:szCs w:val="26"/>
              </w:rPr>
              <w:t xml:space="preserve"> код</w:t>
            </w:r>
            <w:r w:rsidR="00E161DF">
              <w:rPr>
                <w:sz w:val="26"/>
                <w:szCs w:val="26"/>
              </w:rPr>
              <w:t>ов.</w:t>
            </w:r>
          </w:p>
          <w:p w:rsidR="00377516" w:rsidRPr="00F401FC" w:rsidRDefault="00377516" w:rsidP="0037751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268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>9.13.1. Платежные документы, созданные электронно, до подписания электронной подписью уполномоченных лиц, подлежат группировке в виде Сводного реестра платежных документов (</w:t>
            </w:r>
            <w:r>
              <w:rPr>
                <w:sz w:val="26"/>
                <w:szCs w:val="26"/>
              </w:rPr>
              <w:t>самос</w:t>
            </w:r>
            <w:r w:rsidR="00EB5069">
              <w:rPr>
                <w:sz w:val="26"/>
                <w:szCs w:val="26"/>
              </w:rPr>
              <w:t xml:space="preserve">тоятельно разработанный регистр </w:t>
            </w:r>
            <w:r w:rsidRPr="00F401FC">
              <w:rPr>
                <w:sz w:val="26"/>
                <w:szCs w:val="26"/>
              </w:rPr>
              <w:t>), который выводится на бумажный носитель ежедневно, заверяется собственноручными подписями лиц, подготовившими и исполнившими платежные документы, а также первой и второй подписями.</w:t>
            </w:r>
          </w:p>
          <w:p w:rsidR="00377516" w:rsidRPr="00F401FC" w:rsidRDefault="00377516" w:rsidP="0014479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17"/>
              <w:jc w:val="both"/>
              <w:rPr>
                <w:sz w:val="26"/>
                <w:szCs w:val="26"/>
              </w:rPr>
            </w:pPr>
            <w:r w:rsidRPr="00F401FC">
              <w:rPr>
                <w:sz w:val="26"/>
                <w:szCs w:val="26"/>
              </w:rPr>
              <w:t xml:space="preserve">Исполненные платежные поручения (копии электронных документов) выводятся на бумажный носитель ежедневно. </w:t>
            </w:r>
          </w:p>
          <w:p w:rsidR="00144791" w:rsidRDefault="00144791" w:rsidP="00144791">
            <w:pPr>
              <w:pStyle w:val="a6"/>
              <w:spacing w:before="0" w:beforeAutospacing="0" w:after="0" w:afterAutospacing="0"/>
              <w:ind w:firstLine="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Определены электронные документы, пользователи, получатели информации и ресурсы, посредством которых осуществляется </w:t>
            </w:r>
            <w:r w:rsidRPr="00F65583">
              <w:rPr>
                <w:bCs/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>обмен (размещение информации).</w:t>
            </w:r>
          </w:p>
          <w:p w:rsidR="00F65583" w:rsidRPr="002A2558" w:rsidRDefault="00F65583" w:rsidP="00F65583">
            <w:pPr>
              <w:pStyle w:val="HTML"/>
              <w:ind w:firstLine="26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9.14.2</w:t>
            </w:r>
            <w:r w:rsidRPr="002A2558">
              <w:rPr>
                <w:bCs/>
                <w:sz w:val="26"/>
                <w:szCs w:val="26"/>
              </w:rPr>
              <w:t xml:space="preserve">. Представление работнику его расчетного листка по зарплате может осуществляться по заявлению работника удаленным способом. Работник в заявлении указывает способ передачи (доставки) ему расчетного листка (почтой, </w:t>
            </w:r>
            <w:r w:rsidRPr="002A2558">
              <w:rPr>
                <w:sz w:val="26"/>
                <w:szCs w:val="26"/>
              </w:rPr>
              <w:t>электронной почтой</w:t>
            </w:r>
            <w:r w:rsidRPr="002A2558">
              <w:rPr>
                <w:bCs/>
                <w:sz w:val="26"/>
                <w:szCs w:val="26"/>
              </w:rPr>
              <w:t>, иным способом).</w:t>
            </w:r>
          </w:p>
          <w:p w:rsidR="00DC0721" w:rsidRPr="008613A2" w:rsidRDefault="00F65583" w:rsidP="00E161D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98"/>
              <w:jc w:val="both"/>
              <w:rPr>
                <w:sz w:val="26"/>
                <w:szCs w:val="26"/>
              </w:rPr>
            </w:pPr>
            <w:r w:rsidRPr="002A2558">
              <w:rPr>
                <w:sz w:val="26"/>
                <w:szCs w:val="26"/>
              </w:rPr>
              <w:t>Ответственное лицо обеспечивает в день выплаты зарплаты представление работнику расчетного листка</w:t>
            </w:r>
            <w:r w:rsidR="00670FFA">
              <w:rPr>
                <w:sz w:val="26"/>
                <w:szCs w:val="26"/>
              </w:rPr>
              <w:t xml:space="preserve"> (</w:t>
            </w:r>
            <w:r w:rsidRPr="002A2558">
              <w:rPr>
                <w:sz w:val="26"/>
                <w:szCs w:val="26"/>
              </w:rPr>
              <w:t>по форме,</w:t>
            </w:r>
            <w:r w:rsidR="00670FFA">
              <w:rPr>
                <w:sz w:val="26"/>
                <w:szCs w:val="26"/>
              </w:rPr>
              <w:t>утв. в составе Положения об учетной политике).</w:t>
            </w:r>
          </w:p>
        </w:tc>
      </w:tr>
      <w:tr w:rsidR="006B6ECD" w:rsidRPr="007D134C" w:rsidTr="00123593">
        <w:tc>
          <w:tcPr>
            <w:tcW w:w="2410" w:type="dxa"/>
          </w:tcPr>
          <w:p w:rsidR="006B6ECD" w:rsidRPr="007D134C" w:rsidRDefault="006B6ECD" w:rsidP="00123593">
            <w:pPr>
              <w:ind w:firstLine="31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  <w:r w:rsidRPr="007D134C">
              <w:rPr>
                <w:rFonts w:ascii="Times New Roman" w:hAnsi="Times New Roman" w:cs="Times New Roman"/>
                <w:bCs/>
                <w:sz w:val="26"/>
                <w:szCs w:val="26"/>
              </w:rPr>
              <w:t>. Порядок передачи документов бухгалтерского учета при смене руководителя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ли</w:t>
            </w:r>
            <w:r w:rsidRPr="007D13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главного бухгалтера</w:t>
            </w:r>
          </w:p>
        </w:tc>
        <w:tc>
          <w:tcPr>
            <w:tcW w:w="7655" w:type="dxa"/>
          </w:tcPr>
          <w:p w:rsidR="006B6ECD" w:rsidRPr="007D134C" w:rsidRDefault="006B6ECD" w:rsidP="002C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D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 порядок передачи дел заместителю, новому должностному лицу, иному уполномоченному должностному лицу Учреждения при смене руководителя или главного бухгалтера Учреждения; предусмотрен порядок составления актов приема-передачи дел</w:t>
            </w:r>
            <w:r w:rsidR="00F87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B6ECD" w:rsidRPr="008613A2" w:rsidTr="00123593">
        <w:tc>
          <w:tcPr>
            <w:tcW w:w="2410" w:type="dxa"/>
          </w:tcPr>
          <w:p w:rsidR="006B6ECD" w:rsidRPr="008613A2" w:rsidRDefault="006B6ECD" w:rsidP="0012359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17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8613A2">
              <w:rPr>
                <w:bCs/>
                <w:sz w:val="26"/>
                <w:szCs w:val="26"/>
              </w:rPr>
              <w:t>. Порядок организации и обеспечения внутреннего контроля</w:t>
            </w:r>
          </w:p>
          <w:p w:rsidR="006B6ECD" w:rsidRPr="008613A2" w:rsidRDefault="006B6ECD" w:rsidP="0012359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5" w:type="dxa"/>
          </w:tcPr>
          <w:p w:rsidR="006B6ECD" w:rsidRPr="00F919EE" w:rsidRDefault="006B6ECD" w:rsidP="00FB532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410"/>
              <w:jc w:val="both"/>
              <w:rPr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t xml:space="preserve">Внутренний контроль в Учреждении осуществляется в соответствии с Положением о внутреннем контроле, </w:t>
            </w:r>
            <w:r w:rsidR="00334FD3">
              <w:rPr>
                <w:sz w:val="26"/>
                <w:szCs w:val="26"/>
              </w:rPr>
              <w:t xml:space="preserve">разработанным на основе </w:t>
            </w:r>
            <w:r w:rsidRPr="008613A2">
              <w:rPr>
                <w:sz w:val="26"/>
                <w:szCs w:val="26"/>
              </w:rPr>
              <w:t>рекомендованной Росморречфлотом форм</w:t>
            </w:r>
            <w:r w:rsidR="00334FD3">
              <w:rPr>
                <w:sz w:val="26"/>
                <w:szCs w:val="26"/>
              </w:rPr>
              <w:t>ы</w:t>
            </w:r>
            <w:r w:rsidRPr="008613A2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утв. приложением в составе Положения об учетной политике)</w:t>
            </w:r>
            <w:r w:rsidR="00334FD3">
              <w:rPr>
                <w:sz w:val="26"/>
                <w:szCs w:val="26"/>
              </w:rPr>
              <w:t xml:space="preserve"> с учетом особенностей бюджетного учреждения</w:t>
            </w:r>
            <w:r>
              <w:rPr>
                <w:sz w:val="26"/>
                <w:szCs w:val="26"/>
              </w:rPr>
              <w:t>.</w:t>
            </w:r>
          </w:p>
          <w:p w:rsidR="006B6ECD" w:rsidRDefault="006B6ECD" w:rsidP="002C5F27">
            <w:pPr>
              <w:pStyle w:val="HTML"/>
              <w:ind w:firstLine="360"/>
              <w:jc w:val="both"/>
              <w:rPr>
                <w:sz w:val="26"/>
                <w:szCs w:val="26"/>
              </w:rPr>
            </w:pPr>
            <w:r w:rsidRPr="008613A2">
              <w:rPr>
                <w:sz w:val="26"/>
                <w:szCs w:val="26"/>
              </w:rPr>
              <w:t>Основание: пункт 6 Инструкции к Единому плану счетов № 157н</w:t>
            </w:r>
          </w:p>
          <w:p w:rsidR="00FB5326" w:rsidRPr="00FB5326" w:rsidRDefault="00FB5326" w:rsidP="00FB5326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FB5326">
              <w:rPr>
                <w:sz w:val="26"/>
                <w:szCs w:val="26"/>
              </w:rPr>
              <w:t>. Внутренний контроль в Учреждении осуществляют субъекты внутреннего контроля</w:t>
            </w:r>
            <w:r w:rsidR="00AE67CE">
              <w:rPr>
                <w:sz w:val="26"/>
                <w:szCs w:val="26"/>
              </w:rPr>
              <w:t>:</w:t>
            </w:r>
          </w:p>
          <w:p w:rsidR="00FB5326" w:rsidRPr="00FB5326" w:rsidRDefault="00FB5326" w:rsidP="00FB5326">
            <w:pPr>
              <w:pStyle w:val="HTML"/>
              <w:ind w:firstLine="360"/>
              <w:rPr>
                <w:sz w:val="26"/>
                <w:szCs w:val="26"/>
              </w:rPr>
            </w:pPr>
            <w:r w:rsidRPr="00FB5326">
              <w:rPr>
                <w:sz w:val="26"/>
                <w:szCs w:val="26"/>
              </w:rPr>
              <w:t>- руководитель Учреждения, заместители руководителя, главный бухгалтер, руководители структурных подразделений, работники Учреждения в пределах своих полномочий;</w:t>
            </w:r>
          </w:p>
          <w:p w:rsidR="00FB5326" w:rsidRPr="00FB5326" w:rsidRDefault="00FB5326" w:rsidP="00FB5326">
            <w:pPr>
              <w:pStyle w:val="HTML"/>
              <w:ind w:firstLine="360"/>
              <w:rPr>
                <w:sz w:val="26"/>
                <w:szCs w:val="26"/>
              </w:rPr>
            </w:pPr>
            <w:r w:rsidRPr="00FB5326">
              <w:rPr>
                <w:sz w:val="26"/>
                <w:szCs w:val="26"/>
              </w:rPr>
              <w:t>- комиссия по внутреннему контролю;</w:t>
            </w:r>
          </w:p>
          <w:p w:rsidR="00FB5326" w:rsidRDefault="00FB5326" w:rsidP="00FB5326">
            <w:pPr>
              <w:pStyle w:val="HTML"/>
              <w:ind w:firstLine="360"/>
              <w:rPr>
                <w:sz w:val="26"/>
                <w:szCs w:val="26"/>
              </w:rPr>
            </w:pPr>
            <w:r w:rsidRPr="00FB5326">
              <w:rPr>
                <w:sz w:val="26"/>
                <w:szCs w:val="26"/>
              </w:rPr>
              <w:t>- сторонние организации или внешние аудиторы, привлекаемые для целей контрольных мероприятий финансово-хозяйственной деятельности Учреждения.</w:t>
            </w:r>
          </w:p>
          <w:p w:rsidR="00AE67CE" w:rsidRDefault="00AE67CE" w:rsidP="00FB5326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Положением о внутреннем контроле определены: </w:t>
            </w:r>
          </w:p>
          <w:p w:rsidR="00AE67CE" w:rsidRDefault="004831FA" w:rsidP="00FB5326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E67CE">
              <w:rPr>
                <w:sz w:val="26"/>
                <w:szCs w:val="26"/>
              </w:rPr>
              <w:t xml:space="preserve">цели, задачи и принципы </w:t>
            </w:r>
            <w:r w:rsidR="00AE67CE" w:rsidRPr="00FB5326">
              <w:rPr>
                <w:sz w:val="26"/>
                <w:szCs w:val="26"/>
              </w:rPr>
              <w:t>внутреннего контроля</w:t>
            </w:r>
            <w:r>
              <w:rPr>
                <w:sz w:val="26"/>
                <w:szCs w:val="26"/>
              </w:rPr>
              <w:t>;</w:t>
            </w:r>
          </w:p>
          <w:p w:rsidR="00AE67CE" w:rsidRDefault="004831FA" w:rsidP="00AE67CE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AE67CE" w:rsidRPr="004909F3">
              <w:rPr>
                <w:sz w:val="26"/>
                <w:szCs w:val="26"/>
              </w:rPr>
              <w:t>рганизация системы внутреннего контроля</w:t>
            </w:r>
            <w:r>
              <w:rPr>
                <w:sz w:val="26"/>
                <w:szCs w:val="26"/>
              </w:rPr>
              <w:t>;</w:t>
            </w:r>
          </w:p>
          <w:p w:rsidR="00AE67CE" w:rsidRPr="00AE67CE" w:rsidRDefault="004831FA" w:rsidP="00AE67CE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</w:t>
            </w:r>
            <w:r w:rsidR="00AE67CE" w:rsidRPr="004909F3">
              <w:rPr>
                <w:sz w:val="26"/>
                <w:szCs w:val="26"/>
              </w:rPr>
              <w:t>ункции субъектов внутреннего контроля</w:t>
            </w:r>
            <w:r>
              <w:rPr>
                <w:sz w:val="26"/>
                <w:szCs w:val="26"/>
              </w:rPr>
              <w:t>;</w:t>
            </w:r>
          </w:p>
          <w:p w:rsidR="00AE67CE" w:rsidRPr="004909F3" w:rsidRDefault="004831FA" w:rsidP="00AE67CE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полномочия к</w:t>
            </w:r>
            <w:r w:rsidR="00AE67CE" w:rsidRPr="004909F3">
              <w:rPr>
                <w:sz w:val="26"/>
                <w:szCs w:val="26"/>
              </w:rPr>
              <w:t>омиссия по внутреннему контролю</w:t>
            </w:r>
            <w:r>
              <w:rPr>
                <w:sz w:val="26"/>
                <w:szCs w:val="26"/>
              </w:rPr>
              <w:t>;</w:t>
            </w:r>
          </w:p>
          <w:p w:rsidR="00AE67CE" w:rsidRPr="004909F3" w:rsidRDefault="004831FA" w:rsidP="00FB5326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порядок о</w:t>
            </w:r>
            <w:r w:rsidR="00AE67CE" w:rsidRPr="004909F3">
              <w:rPr>
                <w:sz w:val="26"/>
                <w:szCs w:val="26"/>
              </w:rPr>
              <w:t>ценк</w:t>
            </w:r>
            <w:r w:rsidR="00A37C8D">
              <w:rPr>
                <w:sz w:val="26"/>
                <w:szCs w:val="26"/>
              </w:rPr>
              <w:t>и</w:t>
            </w:r>
            <w:r w:rsidR="00AE67CE" w:rsidRPr="004909F3">
              <w:rPr>
                <w:sz w:val="26"/>
                <w:szCs w:val="26"/>
              </w:rPr>
              <w:t xml:space="preserve"> рисков</w:t>
            </w:r>
            <w:r>
              <w:rPr>
                <w:sz w:val="26"/>
                <w:szCs w:val="26"/>
              </w:rPr>
              <w:t xml:space="preserve"> по критериям </w:t>
            </w:r>
            <w:r w:rsidR="00A37C8D">
              <w:rPr>
                <w:sz w:val="26"/>
                <w:szCs w:val="26"/>
              </w:rPr>
              <w:t>«вероятность» и «последствия»;</w:t>
            </w:r>
          </w:p>
          <w:p w:rsidR="004909F3" w:rsidRDefault="00A37C8D" w:rsidP="004909F3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909F3" w:rsidRPr="004909F3">
              <w:rPr>
                <w:sz w:val="26"/>
                <w:szCs w:val="26"/>
              </w:rPr>
              <w:t>орядок создания и хранения документов внутреннего контроля</w:t>
            </w:r>
            <w:r>
              <w:rPr>
                <w:sz w:val="26"/>
                <w:szCs w:val="26"/>
              </w:rPr>
              <w:t>;</w:t>
            </w:r>
          </w:p>
          <w:p w:rsidR="004909F3" w:rsidRDefault="00A37C8D" w:rsidP="004909F3">
            <w:pPr>
              <w:pStyle w:val="HTML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4909F3" w:rsidRPr="004909F3">
              <w:rPr>
                <w:sz w:val="26"/>
                <w:szCs w:val="26"/>
              </w:rPr>
              <w:t>тветственность</w:t>
            </w:r>
            <w:r w:rsidR="004909F3" w:rsidRPr="00733880">
              <w:rPr>
                <w:sz w:val="26"/>
                <w:szCs w:val="26"/>
              </w:rPr>
              <w:t xml:space="preserve"> Субъекты внутреннего контроля</w:t>
            </w:r>
            <w:r>
              <w:rPr>
                <w:sz w:val="26"/>
                <w:szCs w:val="26"/>
              </w:rPr>
              <w:t>;</w:t>
            </w:r>
          </w:p>
          <w:p w:rsidR="00FB5326" w:rsidRPr="008613A2" w:rsidRDefault="00A37C8D" w:rsidP="0011480E">
            <w:pPr>
              <w:pStyle w:val="HTML"/>
              <w:ind w:firstLine="360"/>
              <w:rPr>
                <w:sz w:val="26"/>
                <w:szCs w:val="26"/>
              </w:rPr>
            </w:pPr>
            <w:r w:rsidRPr="00A37C8D">
              <w:rPr>
                <w:sz w:val="26"/>
                <w:szCs w:val="26"/>
              </w:rPr>
              <w:t>- порядок о</w:t>
            </w:r>
            <w:r w:rsidRPr="00A37C8D">
              <w:rPr>
                <w:bCs/>
                <w:sz w:val="26"/>
                <w:szCs w:val="26"/>
              </w:rPr>
              <w:t>ценки</w:t>
            </w:r>
            <w:r w:rsidR="004831FA" w:rsidRPr="00A37C8D">
              <w:rPr>
                <w:bCs/>
                <w:sz w:val="26"/>
                <w:szCs w:val="26"/>
              </w:rPr>
              <w:t xml:space="preserve"> состояния системы внутреннего контроля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223C97" w:rsidRDefault="00223C97" w:rsidP="00223C97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36854" w:rsidRPr="00736854" w:rsidRDefault="00736854" w:rsidP="007368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Анжелика Михайловна, главный бухгалтер</w:t>
      </w:r>
    </w:p>
    <w:p w:rsidR="00B404FB" w:rsidRPr="00F97845" w:rsidRDefault="00736854" w:rsidP="0011480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3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(42137) 7 67 82; </w:t>
      </w:r>
      <w:r w:rsidRPr="00736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AMSorokina</w:t>
      </w:r>
      <w:r w:rsidRPr="0073685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36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ampvanino</w:t>
      </w:r>
      <w:r w:rsidRPr="0073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6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</w:p>
    <w:sectPr w:rsidR="00B404FB" w:rsidRPr="00F97845" w:rsidSect="00B86AB4">
      <w:headerReference w:type="default" r:id="rId23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11" w:rsidRDefault="00530111" w:rsidP="00FE400C">
      <w:pPr>
        <w:spacing w:after="0" w:line="240" w:lineRule="auto"/>
      </w:pPr>
      <w:r>
        <w:separator/>
      </w:r>
    </w:p>
  </w:endnote>
  <w:endnote w:type="continuationSeparator" w:id="1">
    <w:p w:rsidR="00530111" w:rsidRDefault="00530111" w:rsidP="00FE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11" w:rsidRDefault="00530111" w:rsidP="00FE400C">
      <w:pPr>
        <w:spacing w:after="0" w:line="240" w:lineRule="auto"/>
      </w:pPr>
      <w:r>
        <w:separator/>
      </w:r>
    </w:p>
  </w:footnote>
  <w:footnote w:type="continuationSeparator" w:id="1">
    <w:p w:rsidR="00530111" w:rsidRDefault="00530111" w:rsidP="00FE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560886"/>
      <w:docPartObj>
        <w:docPartGallery w:val="Page Numbers (Top of Page)"/>
        <w:docPartUnique/>
      </w:docPartObj>
    </w:sdtPr>
    <w:sdtContent>
      <w:p w:rsidR="00B86AB4" w:rsidRDefault="00124BA6">
        <w:pPr>
          <w:pStyle w:val="a7"/>
          <w:jc w:val="center"/>
        </w:pPr>
        <w:r>
          <w:fldChar w:fldCharType="begin"/>
        </w:r>
        <w:r w:rsidR="00B86AB4">
          <w:instrText>PAGE   \* MERGEFORMAT</w:instrText>
        </w:r>
        <w:r>
          <w:fldChar w:fldCharType="separate"/>
        </w:r>
        <w:r w:rsidR="00845736">
          <w:rPr>
            <w:noProof/>
          </w:rPr>
          <w:t>2</w:t>
        </w:r>
        <w:r>
          <w:fldChar w:fldCharType="end"/>
        </w:r>
      </w:p>
    </w:sdtContent>
  </w:sdt>
  <w:p w:rsidR="00B86AB4" w:rsidRDefault="00B86A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AA"/>
    <w:multiLevelType w:val="hybridMultilevel"/>
    <w:tmpl w:val="7F96091A"/>
    <w:lvl w:ilvl="0" w:tplc="6860CBF2">
      <w:start w:val="1"/>
      <w:numFmt w:val="decimal"/>
      <w:suff w:val="space"/>
      <w:lvlText w:val="1. %1."/>
      <w:lvlJc w:val="left"/>
      <w:pPr>
        <w:ind w:left="1267" w:firstLine="1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CA1175"/>
    <w:multiLevelType w:val="hybridMultilevel"/>
    <w:tmpl w:val="39B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CF4"/>
    <w:multiLevelType w:val="multilevel"/>
    <w:tmpl w:val="C9B22F2C"/>
    <w:lvl w:ilvl="0">
      <w:start w:val="6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1800"/>
      </w:pPr>
      <w:rPr>
        <w:rFonts w:hint="default"/>
      </w:rPr>
    </w:lvl>
  </w:abstractNum>
  <w:abstractNum w:abstractNumId="3">
    <w:nsid w:val="0E4052B7"/>
    <w:multiLevelType w:val="multilevel"/>
    <w:tmpl w:val="6D62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40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4">
    <w:nsid w:val="13C1752A"/>
    <w:multiLevelType w:val="hybridMultilevel"/>
    <w:tmpl w:val="CF9C5278"/>
    <w:lvl w:ilvl="0" w:tplc="037AA0A2">
      <w:start w:val="1"/>
      <w:numFmt w:val="decimal"/>
      <w:suff w:val="space"/>
      <w:lvlText w:val="9. %1."/>
      <w:lvlJc w:val="left"/>
      <w:pPr>
        <w:ind w:left="0" w:firstLine="709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772364F"/>
    <w:multiLevelType w:val="hybridMultilevel"/>
    <w:tmpl w:val="2ACAD886"/>
    <w:lvl w:ilvl="0" w:tplc="6860CBF2">
      <w:start w:val="1"/>
      <w:numFmt w:val="decimal"/>
      <w:suff w:val="space"/>
      <w:lvlText w:val="1. %1."/>
      <w:lvlJc w:val="left"/>
      <w:pPr>
        <w:ind w:left="1267" w:firstLine="1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0616B1"/>
    <w:multiLevelType w:val="hybridMultilevel"/>
    <w:tmpl w:val="CF9C5278"/>
    <w:lvl w:ilvl="0" w:tplc="037AA0A2">
      <w:start w:val="1"/>
      <w:numFmt w:val="decimal"/>
      <w:suff w:val="space"/>
      <w:lvlText w:val="9. %1."/>
      <w:lvlJc w:val="left"/>
      <w:pPr>
        <w:ind w:left="0" w:firstLine="709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8C95C75"/>
    <w:multiLevelType w:val="hybridMultilevel"/>
    <w:tmpl w:val="1700CA0C"/>
    <w:lvl w:ilvl="0" w:tplc="62DC0D1A">
      <w:start w:val="7"/>
      <w:numFmt w:val="decimal"/>
      <w:suff w:val="spac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B7794"/>
    <w:multiLevelType w:val="hybridMultilevel"/>
    <w:tmpl w:val="CF9C5278"/>
    <w:lvl w:ilvl="0" w:tplc="037AA0A2">
      <w:start w:val="1"/>
      <w:numFmt w:val="decimal"/>
      <w:suff w:val="space"/>
      <w:lvlText w:val="9. %1."/>
      <w:lvlJc w:val="left"/>
      <w:pPr>
        <w:ind w:left="0" w:firstLine="709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36191D6C"/>
    <w:multiLevelType w:val="hybridMultilevel"/>
    <w:tmpl w:val="F54AAD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0060F3"/>
    <w:multiLevelType w:val="multilevel"/>
    <w:tmpl w:val="31ECB6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11">
    <w:nsid w:val="48B758B3"/>
    <w:multiLevelType w:val="multilevel"/>
    <w:tmpl w:val="29B8F0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5B5047D4"/>
    <w:multiLevelType w:val="multilevel"/>
    <w:tmpl w:val="4FACF91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B5E4A62"/>
    <w:multiLevelType w:val="multilevel"/>
    <w:tmpl w:val="6D62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40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373"/>
    <w:rsid w:val="000075CF"/>
    <w:rsid w:val="00007B86"/>
    <w:rsid w:val="0002027A"/>
    <w:rsid w:val="00040D04"/>
    <w:rsid w:val="00091A85"/>
    <w:rsid w:val="000A14BD"/>
    <w:rsid w:val="000A70E1"/>
    <w:rsid w:val="000C6F88"/>
    <w:rsid w:val="000D5F0C"/>
    <w:rsid w:val="000F7EE4"/>
    <w:rsid w:val="00106A95"/>
    <w:rsid w:val="0011480E"/>
    <w:rsid w:val="00123593"/>
    <w:rsid w:val="00124BA6"/>
    <w:rsid w:val="00133032"/>
    <w:rsid w:val="00144791"/>
    <w:rsid w:val="00152A30"/>
    <w:rsid w:val="001530CE"/>
    <w:rsid w:val="0015383E"/>
    <w:rsid w:val="00190741"/>
    <w:rsid w:val="001A679E"/>
    <w:rsid w:val="001B4B40"/>
    <w:rsid w:val="001D4702"/>
    <w:rsid w:val="00200387"/>
    <w:rsid w:val="00223C97"/>
    <w:rsid w:val="00250D83"/>
    <w:rsid w:val="00261F83"/>
    <w:rsid w:val="002665C4"/>
    <w:rsid w:val="00272295"/>
    <w:rsid w:val="00293DFC"/>
    <w:rsid w:val="002A23D7"/>
    <w:rsid w:val="002B0733"/>
    <w:rsid w:val="002F1E9D"/>
    <w:rsid w:val="00306154"/>
    <w:rsid w:val="00317C8F"/>
    <w:rsid w:val="00334FD3"/>
    <w:rsid w:val="00337C4F"/>
    <w:rsid w:val="00362395"/>
    <w:rsid w:val="00362873"/>
    <w:rsid w:val="00377516"/>
    <w:rsid w:val="003B20E5"/>
    <w:rsid w:val="003B50DC"/>
    <w:rsid w:val="003D55BE"/>
    <w:rsid w:val="003E79E1"/>
    <w:rsid w:val="003F0EB3"/>
    <w:rsid w:val="00402A18"/>
    <w:rsid w:val="0041134E"/>
    <w:rsid w:val="00412206"/>
    <w:rsid w:val="00465CC4"/>
    <w:rsid w:val="004831FA"/>
    <w:rsid w:val="004909F3"/>
    <w:rsid w:val="00491DC9"/>
    <w:rsid w:val="004B35DE"/>
    <w:rsid w:val="004B7039"/>
    <w:rsid w:val="004C690C"/>
    <w:rsid w:val="004D4335"/>
    <w:rsid w:val="004D488E"/>
    <w:rsid w:val="00524BEB"/>
    <w:rsid w:val="00527874"/>
    <w:rsid w:val="00530111"/>
    <w:rsid w:val="005864A5"/>
    <w:rsid w:val="005D0826"/>
    <w:rsid w:val="005D2565"/>
    <w:rsid w:val="005D711C"/>
    <w:rsid w:val="005F47C0"/>
    <w:rsid w:val="00612AD8"/>
    <w:rsid w:val="00622D11"/>
    <w:rsid w:val="00625689"/>
    <w:rsid w:val="00630223"/>
    <w:rsid w:val="006454F3"/>
    <w:rsid w:val="006620FE"/>
    <w:rsid w:val="00670FFA"/>
    <w:rsid w:val="006806FA"/>
    <w:rsid w:val="0068517E"/>
    <w:rsid w:val="00687108"/>
    <w:rsid w:val="00694E30"/>
    <w:rsid w:val="006B6ECD"/>
    <w:rsid w:val="006C5378"/>
    <w:rsid w:val="006D054E"/>
    <w:rsid w:val="006D27A0"/>
    <w:rsid w:val="006D4BE0"/>
    <w:rsid w:val="006D4E53"/>
    <w:rsid w:val="006D5FFA"/>
    <w:rsid w:val="006E516C"/>
    <w:rsid w:val="006F30F2"/>
    <w:rsid w:val="006F596C"/>
    <w:rsid w:val="00710632"/>
    <w:rsid w:val="00736854"/>
    <w:rsid w:val="00760694"/>
    <w:rsid w:val="007827CA"/>
    <w:rsid w:val="00783DB3"/>
    <w:rsid w:val="007A6AED"/>
    <w:rsid w:val="007B6D29"/>
    <w:rsid w:val="007D134C"/>
    <w:rsid w:val="007F0FCA"/>
    <w:rsid w:val="00825616"/>
    <w:rsid w:val="00844570"/>
    <w:rsid w:val="00845736"/>
    <w:rsid w:val="008459A4"/>
    <w:rsid w:val="008525DE"/>
    <w:rsid w:val="008613A2"/>
    <w:rsid w:val="0087446D"/>
    <w:rsid w:val="0087723C"/>
    <w:rsid w:val="00877710"/>
    <w:rsid w:val="0088198B"/>
    <w:rsid w:val="008871C3"/>
    <w:rsid w:val="008A4616"/>
    <w:rsid w:val="008A4F8B"/>
    <w:rsid w:val="008C7849"/>
    <w:rsid w:val="008E5714"/>
    <w:rsid w:val="008F4A53"/>
    <w:rsid w:val="008F6713"/>
    <w:rsid w:val="00901437"/>
    <w:rsid w:val="00917E36"/>
    <w:rsid w:val="00951557"/>
    <w:rsid w:val="00964F89"/>
    <w:rsid w:val="009764B6"/>
    <w:rsid w:val="00990439"/>
    <w:rsid w:val="009A77AF"/>
    <w:rsid w:val="009B1D74"/>
    <w:rsid w:val="009B1FDD"/>
    <w:rsid w:val="009B5BC3"/>
    <w:rsid w:val="009C0BBB"/>
    <w:rsid w:val="009D1D04"/>
    <w:rsid w:val="009E0E4F"/>
    <w:rsid w:val="00A12AD3"/>
    <w:rsid w:val="00A30572"/>
    <w:rsid w:val="00A37C8D"/>
    <w:rsid w:val="00A426F4"/>
    <w:rsid w:val="00A46866"/>
    <w:rsid w:val="00A57721"/>
    <w:rsid w:val="00A65DCC"/>
    <w:rsid w:val="00A77366"/>
    <w:rsid w:val="00AA6CEC"/>
    <w:rsid w:val="00AC56BE"/>
    <w:rsid w:val="00AC602E"/>
    <w:rsid w:val="00AD34F9"/>
    <w:rsid w:val="00AD467E"/>
    <w:rsid w:val="00AE67CE"/>
    <w:rsid w:val="00B010CD"/>
    <w:rsid w:val="00B068EC"/>
    <w:rsid w:val="00B15CF8"/>
    <w:rsid w:val="00B22071"/>
    <w:rsid w:val="00B404FB"/>
    <w:rsid w:val="00B45716"/>
    <w:rsid w:val="00B464AA"/>
    <w:rsid w:val="00B47E17"/>
    <w:rsid w:val="00B52326"/>
    <w:rsid w:val="00B5332B"/>
    <w:rsid w:val="00B5380A"/>
    <w:rsid w:val="00B86AB4"/>
    <w:rsid w:val="00BB1871"/>
    <w:rsid w:val="00BB2088"/>
    <w:rsid w:val="00BC6865"/>
    <w:rsid w:val="00BD7C64"/>
    <w:rsid w:val="00BF35B4"/>
    <w:rsid w:val="00C11B7A"/>
    <w:rsid w:val="00C30CB1"/>
    <w:rsid w:val="00C405B3"/>
    <w:rsid w:val="00C546A4"/>
    <w:rsid w:val="00C627B5"/>
    <w:rsid w:val="00C7301E"/>
    <w:rsid w:val="00C84B9D"/>
    <w:rsid w:val="00C85037"/>
    <w:rsid w:val="00C85E86"/>
    <w:rsid w:val="00CA7368"/>
    <w:rsid w:val="00CC1429"/>
    <w:rsid w:val="00CD332A"/>
    <w:rsid w:val="00CF29FC"/>
    <w:rsid w:val="00D04D86"/>
    <w:rsid w:val="00D07489"/>
    <w:rsid w:val="00D13C1C"/>
    <w:rsid w:val="00D44236"/>
    <w:rsid w:val="00D534FD"/>
    <w:rsid w:val="00D6399D"/>
    <w:rsid w:val="00D739E7"/>
    <w:rsid w:val="00D813E0"/>
    <w:rsid w:val="00D92E30"/>
    <w:rsid w:val="00DA41DE"/>
    <w:rsid w:val="00DB6AEB"/>
    <w:rsid w:val="00DC0721"/>
    <w:rsid w:val="00DF7E38"/>
    <w:rsid w:val="00E02256"/>
    <w:rsid w:val="00E0355B"/>
    <w:rsid w:val="00E0497A"/>
    <w:rsid w:val="00E161DF"/>
    <w:rsid w:val="00E16A25"/>
    <w:rsid w:val="00E2471E"/>
    <w:rsid w:val="00E3608D"/>
    <w:rsid w:val="00E44467"/>
    <w:rsid w:val="00E64FC5"/>
    <w:rsid w:val="00E6506B"/>
    <w:rsid w:val="00E72373"/>
    <w:rsid w:val="00E76F8F"/>
    <w:rsid w:val="00E77B88"/>
    <w:rsid w:val="00E91C5E"/>
    <w:rsid w:val="00EB00FD"/>
    <w:rsid w:val="00EB343E"/>
    <w:rsid w:val="00EB40B3"/>
    <w:rsid w:val="00EB5069"/>
    <w:rsid w:val="00ED0764"/>
    <w:rsid w:val="00EE28B1"/>
    <w:rsid w:val="00F06E16"/>
    <w:rsid w:val="00F22A54"/>
    <w:rsid w:val="00F30D09"/>
    <w:rsid w:val="00F40211"/>
    <w:rsid w:val="00F46458"/>
    <w:rsid w:val="00F65583"/>
    <w:rsid w:val="00F66EFC"/>
    <w:rsid w:val="00F87478"/>
    <w:rsid w:val="00F919EE"/>
    <w:rsid w:val="00F921E9"/>
    <w:rsid w:val="00F95210"/>
    <w:rsid w:val="00FA6354"/>
    <w:rsid w:val="00FB5326"/>
    <w:rsid w:val="00FB75B9"/>
    <w:rsid w:val="00FE08B8"/>
    <w:rsid w:val="00FE400C"/>
    <w:rsid w:val="00FF10AE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A6"/>
  </w:style>
  <w:style w:type="paragraph" w:styleId="1">
    <w:name w:val="heading 1"/>
    <w:basedOn w:val="a"/>
    <w:link w:val="10"/>
    <w:uiPriority w:val="9"/>
    <w:qFormat/>
    <w:rsid w:val="00B22071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2071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22071"/>
    <w:pPr>
      <w:numPr>
        <w:ilvl w:val="2"/>
        <w:numId w:val="3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071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071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071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071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071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071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122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22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0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0439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07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0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0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20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207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0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207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20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20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AD46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matches">
    <w:name w:val="matches"/>
    <w:basedOn w:val="a0"/>
    <w:rsid w:val="00F22A54"/>
  </w:style>
  <w:style w:type="paragraph" w:customStyle="1" w:styleId="copyright-info">
    <w:name w:val="copyright-info"/>
    <w:basedOn w:val="a"/>
    <w:rsid w:val="00F2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A14BD"/>
    <w:rPr>
      <w:b/>
      <w:bCs/>
      <w:i/>
      <w:iCs/>
      <w:color w:val="FF0000"/>
    </w:rPr>
  </w:style>
  <w:style w:type="paragraph" w:styleId="a7">
    <w:name w:val="header"/>
    <w:basedOn w:val="a"/>
    <w:link w:val="a8"/>
    <w:uiPriority w:val="99"/>
    <w:unhideWhenUsed/>
    <w:rsid w:val="00FE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00C"/>
  </w:style>
  <w:style w:type="paragraph" w:styleId="a9">
    <w:name w:val="footer"/>
    <w:basedOn w:val="a"/>
    <w:link w:val="aa"/>
    <w:uiPriority w:val="99"/>
    <w:unhideWhenUsed/>
    <w:rsid w:val="00FE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00C"/>
  </w:style>
  <w:style w:type="paragraph" w:styleId="ab">
    <w:name w:val="Balloon Text"/>
    <w:basedOn w:val="a"/>
    <w:link w:val="ac"/>
    <w:uiPriority w:val="99"/>
    <w:semiHidden/>
    <w:unhideWhenUsed/>
    <w:rsid w:val="0086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13A2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4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90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90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consultantplus://offline/ref=96BF5B813E8CDCB17A215AA6B87A32DE1F458ECBD3F75694297DC355C5E9C8C3C19ABC7E113BCF575FF5DC444C83444C967396F05A48C6A0fEF2I" TargetMode="External"/><Relationship Id="rId18" Type="http://schemas.openxmlformats.org/officeDocument/2006/relationships/hyperlink" Target="consultantplus://offline/ref=96BF5B813E8CDCB17A215AA6B87A32DE1F458ECADBF15694297DC355C5E9C8C3C19ABC7E113AC5575EF5DC444C83444C967396F05A48C6A0fEF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69A8448DDF7703262E2F3D72171F80FD65EE2FE18D7E4AF0FCD940BFD1E94BED99CA7DCF25D45DA4D6FB0F509A428299E91D899FEEo2K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consultantplus://offline/ref=96BF5B813E8CDCB17A215AA6B87A32DE1F458ECBD3F75694297DC355C5E9C8C3C19ABC7A1238C45802AFCC4005D640529F6C88F34448fCF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BF5B813E8CDCB17A215AA6B87A32DE1F458ECADBF15694297DC355C5E9C8C3C19ABC7E113AC5575FF5DC444C83444C967396F05A48C6A0fEF2I" TargetMode="External"/><Relationship Id="rId20" Type="http://schemas.openxmlformats.org/officeDocument/2006/relationships/hyperlink" Target="consultantplus://offline/ref=96BF5B813E8CDCB17A215AA6B87A32DE1F4788CADFF75694297DC355C5E9C8C3D39AE4721133D85357E08A150AfDF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809A301990E0307200D89C563BB6F07EF457421F57E29251CEB8BEE8110D7E0173D6F3B6743D0DrFkD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F5B813E8CDCB17A215AA6B87A32DE1F458ECADBF15694297DC355C5E9C8C3C19ABC7E113AC5575EF5DC444C83444C967396F05A48C6A0fEF2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consultantplus://offline/ref=96BF5B813E8CDCB17A215AA6B87A32DE1F458ECADBF15694297DC355C5E9C8C3C19ABC7E113AC5575FF5DC444C83444C967396F05A48C6A0fEF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consultantplus://offline/ref=96BF5B813E8CDCB17A215AA6B87A32DE1F458ECBD3F75694297DC355C5E9C8C3D39AE4721133D85357E08A150AfDF7I" TargetMode="External"/><Relationship Id="rId22" Type="http://schemas.openxmlformats.org/officeDocument/2006/relationships/hyperlink" Target="consultantplus://offline/ref=19BBF59589E071EE584B06BDD9AD824C9418CF93C9641095AAD8D0F370B73BECA5F3AE3815D69668274961F315VES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D526-F600-4052-8AEA-2268FAB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Сорокина</dc:creator>
  <cp:lastModifiedBy>EMSoboleva</cp:lastModifiedBy>
  <cp:revision>2</cp:revision>
  <cp:lastPrinted>2019-05-16T09:45:00Z</cp:lastPrinted>
  <dcterms:created xsi:type="dcterms:W3CDTF">2023-01-31T06:24:00Z</dcterms:created>
  <dcterms:modified xsi:type="dcterms:W3CDTF">2023-01-31T06:24:00Z</dcterms:modified>
</cp:coreProperties>
</file>